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264B8" w14:textId="77777777" w:rsidR="002B3A2E" w:rsidRPr="00727BBD" w:rsidRDefault="002B3A2E" w:rsidP="00C102B7">
      <w:pPr>
        <w:pBdr>
          <w:bottom w:val="single" w:sz="4" w:space="1" w:color="auto"/>
        </w:pBdr>
        <w:tabs>
          <w:tab w:val="center" w:pos="5952"/>
        </w:tabs>
        <w:jc w:val="both"/>
        <w:rPr>
          <w:rFonts w:ascii="Arial" w:hAnsi="Arial" w:cs="Arial"/>
          <w:b/>
          <w:spacing w:val="-3"/>
          <w:sz w:val="22"/>
          <w:szCs w:val="22"/>
        </w:rPr>
      </w:pPr>
      <w:bookmarkStart w:id="0" w:name="_GoBack"/>
      <w:bookmarkEnd w:id="0"/>
      <w:r w:rsidRPr="008A0B80">
        <w:rPr>
          <w:rFonts w:ascii="Arial" w:hAnsi="Arial" w:cs="Arial"/>
          <w:b/>
          <w:spacing w:val="-3"/>
          <w:sz w:val="22"/>
          <w:szCs w:val="22"/>
        </w:rPr>
        <w:t xml:space="preserve">Parlementaire vraag nr. </w:t>
      </w:r>
      <w:r w:rsidR="00E40096">
        <w:rPr>
          <w:rFonts w:ascii="Arial" w:hAnsi="Arial" w:cs="Arial"/>
          <w:b/>
          <w:spacing w:val="-3"/>
          <w:sz w:val="22"/>
          <w:szCs w:val="22"/>
        </w:rPr>
        <w:t>1</w:t>
      </w:r>
      <w:r w:rsidR="00C102B7">
        <w:rPr>
          <w:rFonts w:ascii="Arial" w:hAnsi="Arial" w:cs="Arial"/>
          <w:b/>
          <w:spacing w:val="-3"/>
          <w:sz w:val="22"/>
          <w:szCs w:val="22"/>
        </w:rPr>
        <w:t>9</w:t>
      </w:r>
      <w:r w:rsidR="00BD6D76">
        <w:rPr>
          <w:rFonts w:ascii="Arial" w:hAnsi="Arial" w:cs="Arial"/>
          <w:b/>
          <w:spacing w:val="-3"/>
          <w:sz w:val="22"/>
          <w:szCs w:val="22"/>
        </w:rPr>
        <w:t>38</w:t>
      </w:r>
      <w:r w:rsidR="00EE63F8">
        <w:rPr>
          <w:rFonts w:ascii="Arial" w:hAnsi="Arial" w:cs="Arial"/>
          <w:b/>
          <w:spacing w:val="-3"/>
          <w:sz w:val="22"/>
          <w:szCs w:val="22"/>
        </w:rPr>
        <w:t xml:space="preserve"> </w:t>
      </w:r>
      <w:r w:rsidRPr="008A0B80">
        <w:rPr>
          <w:rFonts w:ascii="Arial" w:hAnsi="Arial" w:cs="Arial"/>
          <w:b/>
          <w:spacing w:val="-3"/>
          <w:sz w:val="22"/>
          <w:szCs w:val="22"/>
        </w:rPr>
        <w:t xml:space="preserve">van </w:t>
      </w:r>
      <w:r w:rsidR="00BD6D76">
        <w:rPr>
          <w:rFonts w:ascii="Arial" w:hAnsi="Arial" w:cs="Arial"/>
          <w:b/>
          <w:spacing w:val="-3"/>
          <w:sz w:val="22"/>
          <w:szCs w:val="22"/>
        </w:rPr>
        <w:t>30 november</w:t>
      </w:r>
      <w:r w:rsidR="00A700F9">
        <w:rPr>
          <w:rFonts w:ascii="Arial" w:hAnsi="Arial" w:cs="Arial"/>
          <w:b/>
          <w:spacing w:val="-3"/>
          <w:sz w:val="22"/>
          <w:szCs w:val="22"/>
        </w:rPr>
        <w:t xml:space="preserve"> 2017</w:t>
      </w:r>
      <w:r w:rsidRPr="008A0B80">
        <w:rPr>
          <w:rFonts w:ascii="Arial" w:hAnsi="Arial" w:cs="Arial"/>
          <w:b/>
          <w:spacing w:val="-3"/>
          <w:sz w:val="22"/>
          <w:szCs w:val="22"/>
        </w:rPr>
        <w:t>, gesteld door</w:t>
      </w:r>
      <w:r>
        <w:rPr>
          <w:rFonts w:ascii="Arial" w:hAnsi="Arial" w:cs="Arial"/>
          <w:b/>
          <w:spacing w:val="-3"/>
          <w:sz w:val="22"/>
          <w:szCs w:val="22"/>
        </w:rPr>
        <w:t xml:space="preserve"> </w:t>
      </w:r>
      <w:r w:rsidR="00BD6D76">
        <w:rPr>
          <w:rFonts w:ascii="Arial" w:hAnsi="Arial" w:cs="Arial"/>
          <w:b/>
          <w:spacing w:val="-3"/>
          <w:sz w:val="22"/>
          <w:szCs w:val="22"/>
        </w:rPr>
        <w:t>de heer Roel DESEYN</w:t>
      </w:r>
      <w:r w:rsidRPr="008A0B80">
        <w:rPr>
          <w:rFonts w:ascii="Arial" w:hAnsi="Arial" w:cs="Arial"/>
          <w:b/>
          <w:spacing w:val="-3"/>
          <w:sz w:val="22"/>
          <w:szCs w:val="22"/>
        </w:rPr>
        <w:t>,</w:t>
      </w:r>
      <w:r w:rsidRPr="00FB3BA7">
        <w:rPr>
          <w:rFonts w:ascii="Arial" w:hAnsi="Arial" w:cs="Arial"/>
          <w:b/>
          <w:spacing w:val="-3"/>
          <w:sz w:val="22"/>
          <w:szCs w:val="22"/>
        </w:rPr>
        <w:t xml:space="preserve"> </w:t>
      </w:r>
      <w:r>
        <w:rPr>
          <w:rFonts w:ascii="Arial" w:hAnsi="Arial" w:cs="Arial"/>
          <w:b/>
          <w:spacing w:val="-3"/>
          <w:sz w:val="22"/>
          <w:szCs w:val="22"/>
        </w:rPr>
        <w:t>Volksvertegenwoordiger</w:t>
      </w:r>
      <w:r w:rsidRPr="00FB3BA7">
        <w:rPr>
          <w:rFonts w:ascii="Arial" w:hAnsi="Arial" w:cs="Arial"/>
          <w:b/>
          <w:spacing w:val="-3"/>
          <w:sz w:val="22"/>
          <w:szCs w:val="22"/>
        </w:rPr>
        <w:t>, aan de Minister van Financiën</w:t>
      </w:r>
      <w:r w:rsidR="00432AF2" w:rsidRPr="00727BBD">
        <w:rPr>
          <w:rFonts w:ascii="Arial" w:hAnsi="Arial" w:cs="Arial"/>
          <w:b/>
          <w:bCs/>
          <w:sz w:val="22"/>
          <w:szCs w:val="22"/>
        </w:rPr>
        <w:t>, belast met Bestrijding van de fiscale fraude</w:t>
      </w:r>
      <w:r w:rsidR="006D3E31" w:rsidRPr="00727BBD">
        <w:rPr>
          <w:rFonts w:ascii="Arial" w:hAnsi="Arial" w:cs="Arial"/>
          <w:b/>
          <w:spacing w:val="-3"/>
          <w:sz w:val="22"/>
          <w:szCs w:val="22"/>
        </w:rPr>
        <w:t xml:space="preserve"> </w:t>
      </w:r>
      <w:r w:rsidRPr="00727BBD">
        <w:rPr>
          <w:rFonts w:ascii="Arial" w:hAnsi="Arial" w:cs="Arial"/>
          <w:b/>
          <w:spacing w:val="-3"/>
          <w:sz w:val="22"/>
          <w:szCs w:val="22"/>
        </w:rPr>
        <w:t xml:space="preserve">de heer </w:t>
      </w:r>
      <w:r w:rsidR="00725752" w:rsidRPr="00727BBD">
        <w:rPr>
          <w:rFonts w:ascii="Arial" w:hAnsi="Arial" w:cs="Arial"/>
          <w:b/>
          <w:spacing w:val="-3"/>
          <w:sz w:val="22"/>
          <w:szCs w:val="22"/>
        </w:rPr>
        <w:t>Johan VAN OVERTVELDT</w:t>
      </w:r>
    </w:p>
    <w:p w14:paraId="2B2EA051" w14:textId="77777777" w:rsidR="007035B6" w:rsidRPr="002B3A2E" w:rsidRDefault="007035B6" w:rsidP="00C102B7">
      <w:pPr>
        <w:tabs>
          <w:tab w:val="left" w:pos="1417"/>
        </w:tabs>
        <w:jc w:val="both"/>
        <w:rPr>
          <w:rFonts w:ascii="Arial" w:hAnsi="Arial" w:cs="Arial"/>
          <w:spacing w:val="-3"/>
          <w:sz w:val="20"/>
        </w:rPr>
      </w:pPr>
    </w:p>
    <w:p w14:paraId="36C9031E" w14:textId="77777777" w:rsidR="00614281" w:rsidRPr="00432AF2" w:rsidRDefault="00614281" w:rsidP="00C102B7">
      <w:pPr>
        <w:tabs>
          <w:tab w:val="left" w:pos="1417"/>
        </w:tabs>
        <w:jc w:val="both"/>
        <w:rPr>
          <w:rFonts w:ascii="Arial" w:hAnsi="Arial" w:cs="Arial"/>
          <w:b/>
          <w:spacing w:val="-3"/>
          <w:sz w:val="22"/>
          <w:szCs w:val="22"/>
          <w:lang w:val="nl-BE"/>
        </w:rPr>
      </w:pPr>
      <w:r w:rsidRPr="00432AF2">
        <w:rPr>
          <w:rFonts w:ascii="Arial" w:hAnsi="Arial" w:cs="Arial"/>
          <w:b/>
          <w:spacing w:val="-3"/>
          <w:sz w:val="22"/>
          <w:szCs w:val="22"/>
          <w:lang w:val="nl-BE"/>
        </w:rPr>
        <w:t>VRAAG</w:t>
      </w:r>
    </w:p>
    <w:p w14:paraId="58895882" w14:textId="77777777" w:rsidR="00614281" w:rsidRPr="00432AF2" w:rsidRDefault="00614281" w:rsidP="00C102B7">
      <w:pPr>
        <w:tabs>
          <w:tab w:val="left" w:pos="1417"/>
        </w:tabs>
        <w:jc w:val="both"/>
        <w:rPr>
          <w:rFonts w:ascii="Arial" w:hAnsi="Arial" w:cs="Arial"/>
          <w:spacing w:val="-3"/>
          <w:sz w:val="20"/>
          <w:lang w:val="nl-BE"/>
        </w:rPr>
      </w:pPr>
    </w:p>
    <w:p w14:paraId="28155F6D" w14:textId="77777777" w:rsidR="00BD6D76" w:rsidRPr="00BD6D76" w:rsidRDefault="00BD6D76" w:rsidP="00BD6D76">
      <w:pPr>
        <w:rPr>
          <w:rStyle w:val="Bold"/>
          <w:rFonts w:ascii="Arial" w:hAnsi="Arial" w:cs="Arial"/>
          <w:sz w:val="22"/>
          <w:szCs w:val="22"/>
          <w:lang w:val="nl-BE"/>
        </w:rPr>
      </w:pPr>
      <w:r w:rsidRPr="00BD6D76">
        <w:rPr>
          <w:rStyle w:val="Bold"/>
          <w:rFonts w:ascii="Arial" w:hAnsi="Arial" w:cs="Arial"/>
          <w:sz w:val="22"/>
          <w:szCs w:val="22"/>
          <w:lang w:val="nl-BE"/>
        </w:rPr>
        <w:t>Accijnsinkomsten.</w:t>
      </w:r>
    </w:p>
    <w:p w14:paraId="56FA9729" w14:textId="77777777" w:rsidR="00BD6D76" w:rsidRPr="00BD6D76" w:rsidRDefault="00BD6D76" w:rsidP="00BD6D76">
      <w:pPr>
        <w:rPr>
          <w:rFonts w:ascii="Arial" w:hAnsi="Arial" w:cs="Arial"/>
          <w:sz w:val="22"/>
          <w:szCs w:val="22"/>
          <w:lang w:val="nl-BE"/>
        </w:rPr>
      </w:pPr>
    </w:p>
    <w:p w14:paraId="6685F36F" w14:textId="77777777" w:rsidR="00BD6D76" w:rsidRPr="00BD6D76" w:rsidRDefault="00BD6D76" w:rsidP="002346ED">
      <w:pPr>
        <w:jc w:val="both"/>
        <w:rPr>
          <w:rFonts w:ascii="Arial" w:hAnsi="Arial" w:cs="Arial"/>
          <w:sz w:val="22"/>
          <w:szCs w:val="22"/>
          <w:lang w:val="nl-BE" w:eastAsia="nl-BE"/>
        </w:rPr>
      </w:pPr>
      <w:r w:rsidRPr="00BD6D76">
        <w:rPr>
          <w:rFonts w:ascii="Arial" w:hAnsi="Arial" w:cs="Arial"/>
          <w:sz w:val="22"/>
          <w:szCs w:val="22"/>
          <w:lang w:val="nl-BE" w:eastAsia="nl-BE"/>
        </w:rPr>
        <w:t>Bij de verschillende begrotingsconclaven en de taxshift werd er beslist om de accijnzen op alcohol te verhogen. Meer bepaald werden de accijnzen op wijn en gedistilleerde dranken sterk verhoogd tegenover deze van bier. In dat verband spreekt de sector van een daling van de verkoop van om en bij 22 % voor de producenten, 15 % voor de retail en 50 % voor de horeca. Daarbij zouden al heel wat investeringen uitgesteld of afgesteld zijn en zou één op vijf bedrijven al personeel hebben moeten afdanken.</w:t>
      </w:r>
    </w:p>
    <w:p w14:paraId="3BD8C69C" w14:textId="77777777" w:rsidR="00BD6D76" w:rsidRPr="00BD6D76" w:rsidRDefault="00BD6D76" w:rsidP="002346ED">
      <w:pPr>
        <w:jc w:val="both"/>
        <w:rPr>
          <w:rFonts w:ascii="Arial" w:hAnsi="Arial" w:cs="Arial"/>
          <w:sz w:val="22"/>
          <w:szCs w:val="22"/>
          <w:lang w:val="nl-BE" w:eastAsia="nl-BE"/>
        </w:rPr>
      </w:pPr>
      <w:r w:rsidRPr="00BD6D76">
        <w:rPr>
          <w:rFonts w:ascii="Arial" w:hAnsi="Arial" w:cs="Arial"/>
          <w:sz w:val="22"/>
          <w:szCs w:val="22"/>
          <w:lang w:val="nl-BE" w:eastAsia="nl-BE"/>
        </w:rPr>
        <w:t>Uit cijfers blijkt ook dat in 2016 de toename in accijnsinkomsten op alcohol van 52 miljoen euro integraal werd opgesoupeerd door een daling aan btw-inkomsten met zo'n 73 miljoen euro. Dit zou dan neerkomen op een nettoverlies van 21 miljoen euro ten opzichte van 2015. Eind september 2017 zou er zelfs geen sprake meer zijn van toegenomen accijnsinkomsten in vergelijking met dezelfde periode in 2016, maar van een daling met 614.000 euro. Tenslotte zou de fraude ook toenemen, want in 2016 zou er voor 19,5 miljoen euro aan rechten ontdoken zijn op alcohol (wat 40 keer meer zou zijn dan in 2015).</w:t>
      </w:r>
    </w:p>
    <w:p w14:paraId="06482DFC" w14:textId="77777777" w:rsidR="00BD6D76" w:rsidRDefault="00BD6D76" w:rsidP="002346ED">
      <w:pPr>
        <w:jc w:val="both"/>
        <w:rPr>
          <w:rFonts w:ascii="Arial" w:hAnsi="Arial" w:cs="Arial"/>
          <w:sz w:val="22"/>
          <w:szCs w:val="22"/>
          <w:lang w:val="nl-BE" w:eastAsia="nl-BE"/>
        </w:rPr>
      </w:pPr>
      <w:r w:rsidRPr="00BD6D76">
        <w:rPr>
          <w:rFonts w:ascii="Arial" w:hAnsi="Arial" w:cs="Arial"/>
          <w:sz w:val="22"/>
          <w:szCs w:val="22"/>
          <w:lang w:val="nl-BE" w:eastAsia="nl-BE"/>
        </w:rPr>
        <w:t>Verder wordt ook getwijfeld aan de gezondheidswinst. Mensen drinken niet minder, maar kopen eerder hun wijn en gedistilleerde dranken in het buitenland en vooral in de buurlanden, waar prijzen tot de helft goedkoper kunnen zijn. Vandaar zou een doelgericht en effectief alcoholbeleid over alle beleidsniveaus heen opgestart moeten kunnen worden aan de hand van een diepgaande analyse van de effecten van de accijnsverhogingen.</w:t>
      </w:r>
    </w:p>
    <w:p w14:paraId="1A18D1D3" w14:textId="77777777" w:rsidR="00BD6D76" w:rsidRPr="00BD6D76" w:rsidRDefault="00BD6D76" w:rsidP="002346ED">
      <w:pPr>
        <w:jc w:val="both"/>
        <w:rPr>
          <w:rFonts w:ascii="Arial" w:hAnsi="Arial" w:cs="Arial"/>
          <w:sz w:val="22"/>
          <w:szCs w:val="22"/>
          <w:lang w:val="nl-BE" w:eastAsia="nl-BE"/>
        </w:rPr>
      </w:pPr>
    </w:p>
    <w:p w14:paraId="453644BF" w14:textId="77777777" w:rsidR="00BD6D76" w:rsidRDefault="00BD6D76" w:rsidP="002346ED">
      <w:pPr>
        <w:jc w:val="both"/>
        <w:rPr>
          <w:rFonts w:ascii="Arial" w:hAnsi="Arial" w:cs="Arial"/>
          <w:sz w:val="22"/>
          <w:szCs w:val="22"/>
          <w:lang w:val="nl-BE" w:eastAsia="nl-BE"/>
        </w:rPr>
      </w:pPr>
      <w:r w:rsidRPr="00BD6D76">
        <w:rPr>
          <w:rFonts w:ascii="Arial" w:hAnsi="Arial" w:cs="Arial"/>
          <w:sz w:val="22"/>
          <w:szCs w:val="22"/>
          <w:lang w:val="nl-BE" w:eastAsia="nl-BE"/>
        </w:rPr>
        <w:t>1. Bent u akkoord met bovenstaande cijfers van de sectorvereniging inzake de negatieve gevolgen van de accijnsstijging? Zo neen, waarom niet?</w:t>
      </w:r>
    </w:p>
    <w:p w14:paraId="4DF83CF6" w14:textId="77777777" w:rsidR="00BD6D76" w:rsidRPr="00BD6D76" w:rsidRDefault="00BD6D76" w:rsidP="002346ED">
      <w:pPr>
        <w:jc w:val="both"/>
        <w:rPr>
          <w:rFonts w:ascii="Arial" w:hAnsi="Arial" w:cs="Arial"/>
          <w:sz w:val="22"/>
          <w:szCs w:val="22"/>
          <w:lang w:val="nl-BE" w:eastAsia="nl-BE"/>
        </w:rPr>
      </w:pPr>
    </w:p>
    <w:p w14:paraId="47478095" w14:textId="77777777" w:rsidR="00BD6D76" w:rsidRDefault="00BD6D76" w:rsidP="002346ED">
      <w:pPr>
        <w:jc w:val="both"/>
        <w:rPr>
          <w:rFonts w:ascii="Arial" w:hAnsi="Arial" w:cs="Arial"/>
          <w:sz w:val="22"/>
          <w:szCs w:val="22"/>
          <w:lang w:val="nl-BE" w:eastAsia="nl-BE"/>
        </w:rPr>
      </w:pPr>
      <w:r w:rsidRPr="00BD6D76">
        <w:rPr>
          <w:rFonts w:ascii="Arial" w:hAnsi="Arial" w:cs="Arial"/>
          <w:sz w:val="22"/>
          <w:szCs w:val="22"/>
          <w:lang w:val="nl-BE" w:eastAsia="nl-BE"/>
        </w:rPr>
        <w:t>2. Kan u verduidelijken of de accijnsinkomsten uit wijn en gedistilleerde dranken werden weggeërodeerd door lagere btw-inkomsten?</w:t>
      </w:r>
    </w:p>
    <w:p w14:paraId="1D1CBE74" w14:textId="77777777" w:rsidR="00BD6D76" w:rsidRPr="00BD6D76" w:rsidRDefault="00BD6D76" w:rsidP="002346ED">
      <w:pPr>
        <w:jc w:val="both"/>
        <w:rPr>
          <w:rFonts w:ascii="Arial" w:hAnsi="Arial" w:cs="Arial"/>
          <w:sz w:val="22"/>
          <w:szCs w:val="22"/>
          <w:lang w:val="nl-BE" w:eastAsia="nl-BE"/>
        </w:rPr>
      </w:pPr>
    </w:p>
    <w:p w14:paraId="72C33850" w14:textId="77777777" w:rsidR="00BD6D76" w:rsidRPr="00BD6D76" w:rsidRDefault="00BD6D76" w:rsidP="002346ED">
      <w:pPr>
        <w:jc w:val="both"/>
        <w:rPr>
          <w:rFonts w:ascii="Arial" w:hAnsi="Arial" w:cs="Arial"/>
          <w:sz w:val="22"/>
          <w:szCs w:val="22"/>
          <w:lang w:val="nl-BE" w:eastAsia="nl-BE"/>
        </w:rPr>
      </w:pPr>
      <w:r w:rsidRPr="00BD6D76">
        <w:rPr>
          <w:rFonts w:ascii="Arial" w:hAnsi="Arial" w:cs="Arial"/>
          <w:sz w:val="22"/>
          <w:szCs w:val="22"/>
          <w:lang w:val="nl-BE" w:eastAsia="nl-BE"/>
        </w:rPr>
        <w:t>3. a) Heeft u zicht op het volume aan grensaankopen voor wat betreft wijnen en gedistilleerde dranken in de jaren 2015-2017?</w:t>
      </w:r>
    </w:p>
    <w:p w14:paraId="46543C8A" w14:textId="77777777" w:rsidR="00BD6D76" w:rsidRDefault="00BD6D76" w:rsidP="002346ED">
      <w:pPr>
        <w:jc w:val="both"/>
        <w:rPr>
          <w:rFonts w:ascii="Arial" w:hAnsi="Arial" w:cs="Arial"/>
          <w:sz w:val="22"/>
          <w:szCs w:val="22"/>
          <w:lang w:val="nl-BE" w:eastAsia="nl-BE"/>
        </w:rPr>
      </w:pPr>
      <w:r w:rsidRPr="00BD6D76">
        <w:rPr>
          <w:rFonts w:ascii="Arial" w:hAnsi="Arial" w:cs="Arial"/>
          <w:sz w:val="22"/>
          <w:szCs w:val="22"/>
          <w:lang w:val="nl-BE" w:eastAsia="nl-BE"/>
        </w:rPr>
        <w:t>b) Kan u daarbij concluderen dat ten gevolge van de accijnsstijgingen de grensaankopen serieus zijn toegenomen?</w:t>
      </w:r>
    </w:p>
    <w:p w14:paraId="28A34E21" w14:textId="77777777" w:rsidR="00BD6D76" w:rsidRPr="00BD6D76" w:rsidRDefault="00BD6D76" w:rsidP="002346ED">
      <w:pPr>
        <w:jc w:val="both"/>
        <w:rPr>
          <w:rFonts w:ascii="Arial" w:hAnsi="Arial" w:cs="Arial"/>
          <w:sz w:val="22"/>
          <w:szCs w:val="22"/>
          <w:lang w:val="nl-BE" w:eastAsia="nl-BE"/>
        </w:rPr>
      </w:pPr>
    </w:p>
    <w:p w14:paraId="1BF91338" w14:textId="77777777" w:rsidR="00BD6D76" w:rsidRPr="00BD6D76" w:rsidRDefault="00BD6D76" w:rsidP="002346ED">
      <w:pPr>
        <w:jc w:val="both"/>
        <w:rPr>
          <w:rFonts w:ascii="Arial" w:hAnsi="Arial" w:cs="Arial"/>
          <w:sz w:val="22"/>
          <w:szCs w:val="22"/>
          <w:lang w:val="nl-BE" w:eastAsia="nl-BE"/>
        </w:rPr>
      </w:pPr>
      <w:r w:rsidRPr="00BD6D76">
        <w:rPr>
          <w:rFonts w:ascii="Arial" w:hAnsi="Arial" w:cs="Arial"/>
          <w:sz w:val="22"/>
          <w:szCs w:val="22"/>
          <w:lang w:val="nl-BE" w:eastAsia="nl-BE"/>
        </w:rPr>
        <w:t>4. Bent u ermee akkoord dat we een grondige analyse moeten maken van de effecten van de accijnsverhoging?</w:t>
      </w:r>
    </w:p>
    <w:p w14:paraId="3D630CE8" w14:textId="77777777" w:rsidR="00BD6D76" w:rsidRDefault="00BD6D76" w:rsidP="002346ED">
      <w:pPr>
        <w:jc w:val="both"/>
        <w:rPr>
          <w:rFonts w:ascii="Arial" w:hAnsi="Arial" w:cs="Arial"/>
          <w:sz w:val="22"/>
          <w:szCs w:val="22"/>
          <w:lang w:val="nl-BE" w:eastAsia="nl-BE"/>
        </w:rPr>
      </w:pPr>
      <w:r w:rsidRPr="00BD6D76">
        <w:rPr>
          <w:rFonts w:ascii="Arial" w:hAnsi="Arial" w:cs="Arial"/>
          <w:sz w:val="22"/>
          <w:szCs w:val="22"/>
          <w:lang w:val="nl-BE" w:eastAsia="nl-BE"/>
        </w:rPr>
        <w:t>Zo ja, gaat u dan op basis van deze cijfers een allesomvattend alcoholbeleid uitwerken samen met uw collega bevoegd voor Volksgezondheid, zodat een doelgericht en effectief alcoholbeleid met accijnzen kan worden opgestart?</w:t>
      </w:r>
    </w:p>
    <w:p w14:paraId="1BF2F7A6" w14:textId="77777777" w:rsidR="00BD6D76" w:rsidRPr="00BD6D76" w:rsidRDefault="00BD6D76" w:rsidP="002346ED">
      <w:pPr>
        <w:jc w:val="both"/>
        <w:rPr>
          <w:rFonts w:ascii="Arial" w:hAnsi="Arial" w:cs="Arial"/>
          <w:sz w:val="22"/>
          <w:szCs w:val="22"/>
          <w:lang w:val="nl-BE" w:eastAsia="nl-BE"/>
        </w:rPr>
      </w:pPr>
    </w:p>
    <w:p w14:paraId="53136D33" w14:textId="77777777" w:rsidR="00BD6D76" w:rsidRPr="00BD6D76" w:rsidRDefault="00BD6D76" w:rsidP="002346ED">
      <w:pPr>
        <w:jc w:val="both"/>
        <w:rPr>
          <w:rFonts w:ascii="Arial" w:hAnsi="Arial" w:cs="Arial"/>
          <w:sz w:val="22"/>
          <w:szCs w:val="22"/>
          <w:lang w:val="nl-BE" w:eastAsia="nl-BE"/>
        </w:rPr>
      </w:pPr>
      <w:r w:rsidRPr="00BD6D76">
        <w:rPr>
          <w:rFonts w:ascii="Arial" w:hAnsi="Arial" w:cs="Arial"/>
          <w:sz w:val="22"/>
          <w:szCs w:val="22"/>
          <w:lang w:val="nl-BE" w:eastAsia="nl-BE"/>
        </w:rPr>
        <w:t>5. Welke maatregelen zal u in tussentijd nemen om de negatieve gevolgen van de accijnsstijgingen in de sector te neutraliseren?</w:t>
      </w:r>
    </w:p>
    <w:p w14:paraId="2B512BD3" w14:textId="77777777" w:rsidR="00BD6D76" w:rsidRPr="00BD6D76" w:rsidRDefault="00BD6D76" w:rsidP="002346ED">
      <w:pPr>
        <w:jc w:val="both"/>
        <w:rPr>
          <w:rFonts w:ascii="Arial" w:hAnsi="Arial" w:cs="Arial"/>
          <w:sz w:val="22"/>
          <w:szCs w:val="22"/>
          <w:lang w:val="nl-BE" w:eastAsia="nl-BE"/>
        </w:rPr>
      </w:pPr>
    </w:p>
    <w:p w14:paraId="640AFF83" w14:textId="77777777" w:rsidR="005D7E32" w:rsidRPr="00BD6D76" w:rsidRDefault="005D7E32" w:rsidP="002346ED">
      <w:pPr>
        <w:jc w:val="both"/>
        <w:outlineLvl w:val="0"/>
        <w:rPr>
          <w:rFonts w:ascii="Arial" w:hAnsi="Arial" w:cs="Arial"/>
          <w:sz w:val="22"/>
          <w:szCs w:val="22"/>
          <w:lang w:val="nl-BE"/>
        </w:rPr>
      </w:pPr>
    </w:p>
    <w:p w14:paraId="14F937D5" w14:textId="77777777" w:rsidR="005D7E32" w:rsidRDefault="005D7E32" w:rsidP="002346ED">
      <w:pPr>
        <w:jc w:val="both"/>
        <w:outlineLvl w:val="0"/>
        <w:rPr>
          <w:rFonts w:ascii="Arial" w:hAnsi="Arial" w:cs="Arial"/>
          <w:sz w:val="22"/>
          <w:szCs w:val="22"/>
          <w:lang w:val="nl-BE"/>
        </w:rPr>
      </w:pPr>
    </w:p>
    <w:p w14:paraId="37DFA7CB" w14:textId="77777777" w:rsidR="005D7E32" w:rsidRPr="00C102B7" w:rsidRDefault="005D7E32" w:rsidP="002346ED">
      <w:pPr>
        <w:jc w:val="both"/>
        <w:outlineLvl w:val="0"/>
        <w:rPr>
          <w:rFonts w:ascii="Arial" w:hAnsi="Arial" w:cs="Arial"/>
          <w:sz w:val="22"/>
          <w:szCs w:val="22"/>
          <w:lang w:val="nl-BE"/>
        </w:rPr>
      </w:pPr>
    </w:p>
    <w:p w14:paraId="1A34E02E" w14:textId="77777777" w:rsidR="00E439E1" w:rsidRDefault="00E439E1" w:rsidP="002346ED">
      <w:pPr>
        <w:tabs>
          <w:tab w:val="left" w:pos="1417"/>
        </w:tabs>
        <w:jc w:val="both"/>
        <w:rPr>
          <w:rFonts w:ascii="Arial" w:hAnsi="Arial" w:cs="Arial"/>
          <w:sz w:val="22"/>
          <w:szCs w:val="22"/>
          <w:lang w:val="nl-BE"/>
        </w:rPr>
      </w:pPr>
    </w:p>
    <w:p w14:paraId="7988F87C" w14:textId="77777777" w:rsidR="00E439E1" w:rsidRDefault="00E439E1" w:rsidP="002346ED">
      <w:pPr>
        <w:tabs>
          <w:tab w:val="left" w:pos="1417"/>
        </w:tabs>
        <w:jc w:val="both"/>
        <w:rPr>
          <w:rFonts w:ascii="Arial" w:hAnsi="Arial" w:cs="Arial"/>
          <w:b/>
          <w:spacing w:val="-3"/>
          <w:sz w:val="22"/>
          <w:szCs w:val="22"/>
        </w:rPr>
      </w:pPr>
      <w:r>
        <w:rPr>
          <w:rFonts w:ascii="Arial" w:hAnsi="Arial" w:cs="Arial"/>
          <w:b/>
          <w:spacing w:val="-3"/>
          <w:sz w:val="22"/>
          <w:szCs w:val="22"/>
        </w:rPr>
        <w:t>ANTWOORD</w:t>
      </w:r>
    </w:p>
    <w:p w14:paraId="16B19A98" w14:textId="77777777" w:rsidR="00EE63F8" w:rsidRDefault="00EE63F8" w:rsidP="002346ED">
      <w:pPr>
        <w:tabs>
          <w:tab w:val="left" w:pos="1417"/>
        </w:tabs>
        <w:jc w:val="both"/>
        <w:rPr>
          <w:rFonts w:ascii="Arial" w:hAnsi="Arial" w:cs="Arial"/>
          <w:sz w:val="22"/>
          <w:szCs w:val="22"/>
          <w:lang w:val="nl-BE"/>
        </w:rPr>
      </w:pPr>
    </w:p>
    <w:p w14:paraId="14869518" w14:textId="3F6D6AA5" w:rsidR="00BD6D76" w:rsidRDefault="00BD6D76" w:rsidP="001D2A11">
      <w:pPr>
        <w:tabs>
          <w:tab w:val="left" w:pos="1417"/>
        </w:tabs>
        <w:jc w:val="both"/>
        <w:rPr>
          <w:rFonts w:ascii="Arial" w:hAnsi="Arial" w:cs="Arial"/>
          <w:sz w:val="22"/>
          <w:szCs w:val="22"/>
          <w:lang w:val="nl-BE"/>
        </w:rPr>
      </w:pPr>
      <w:r>
        <w:rPr>
          <w:rFonts w:ascii="Arial" w:hAnsi="Arial" w:cs="Arial"/>
          <w:sz w:val="22"/>
          <w:szCs w:val="22"/>
          <w:lang w:val="nl-BE"/>
        </w:rPr>
        <w:t>1</w:t>
      </w:r>
      <w:r w:rsidR="0050315A">
        <w:rPr>
          <w:rFonts w:ascii="Arial" w:hAnsi="Arial" w:cs="Arial"/>
          <w:sz w:val="22"/>
          <w:szCs w:val="22"/>
          <w:lang w:val="nl-BE"/>
        </w:rPr>
        <w:t xml:space="preserve">. </w:t>
      </w:r>
      <w:r w:rsidR="00E96B10">
        <w:rPr>
          <w:rFonts w:ascii="Arial" w:hAnsi="Arial" w:cs="Arial"/>
          <w:sz w:val="22"/>
          <w:szCs w:val="22"/>
          <w:lang w:val="nl-BE"/>
        </w:rPr>
        <w:t xml:space="preserve">en 2. </w:t>
      </w:r>
      <w:r w:rsidR="0050315A">
        <w:rPr>
          <w:rFonts w:ascii="Arial" w:hAnsi="Arial" w:cs="Arial"/>
          <w:sz w:val="22"/>
          <w:szCs w:val="22"/>
          <w:lang w:val="nl-BE"/>
        </w:rPr>
        <w:t xml:space="preserve">De door de sectorvereniging geciteerde cijfers zijn </w:t>
      </w:r>
      <w:r w:rsidR="002346ED">
        <w:rPr>
          <w:rFonts w:ascii="Arial" w:hAnsi="Arial" w:cs="Arial"/>
          <w:sz w:val="22"/>
          <w:szCs w:val="22"/>
          <w:lang w:val="nl-BE"/>
        </w:rPr>
        <w:t>mij</w:t>
      </w:r>
      <w:r w:rsidR="0050315A">
        <w:rPr>
          <w:rFonts w:ascii="Arial" w:hAnsi="Arial" w:cs="Arial"/>
          <w:sz w:val="22"/>
          <w:szCs w:val="22"/>
          <w:lang w:val="nl-BE"/>
        </w:rPr>
        <w:t xml:space="preserve"> onbekend</w:t>
      </w:r>
      <w:r w:rsidR="001D2A11">
        <w:rPr>
          <w:rFonts w:ascii="Arial" w:hAnsi="Arial" w:cs="Arial"/>
          <w:sz w:val="22"/>
          <w:szCs w:val="22"/>
          <w:lang w:val="nl-BE"/>
        </w:rPr>
        <w:t xml:space="preserve">, , al ga ik niet ontkennen dat vorig jaar de opbrengst van de accijnzen op sterke dranken lager lagen dan </w:t>
      </w:r>
      <w:r w:rsidR="001D2A11">
        <w:rPr>
          <w:rFonts w:ascii="Arial" w:hAnsi="Arial" w:cs="Arial"/>
          <w:sz w:val="22"/>
          <w:szCs w:val="22"/>
          <w:lang w:val="nl-BE"/>
        </w:rPr>
        <w:lastRenderedPageBreak/>
        <w:t xml:space="preserve">initieel begroot. Wij houden echter een continue monitoring waardoor er bij begrotingscontroles desgevallend wordt bijgestuurd. Die monitoring doen wij op basis van de volumes absolute alcohol en de daaraan gekoppelde accijnsontvangsten. </w:t>
      </w:r>
    </w:p>
    <w:p w14:paraId="0A126F25" w14:textId="77777777" w:rsidR="0050315A" w:rsidRDefault="0050315A" w:rsidP="002346ED">
      <w:pPr>
        <w:tabs>
          <w:tab w:val="left" w:pos="1417"/>
        </w:tabs>
        <w:jc w:val="both"/>
        <w:rPr>
          <w:rFonts w:ascii="Arial" w:hAnsi="Arial" w:cs="Arial"/>
          <w:sz w:val="22"/>
          <w:szCs w:val="22"/>
          <w:lang w:val="nl-BE"/>
        </w:rPr>
      </w:pPr>
    </w:p>
    <w:tbl>
      <w:tblPr>
        <w:tblW w:w="10206" w:type="dxa"/>
        <w:jc w:val="center"/>
        <w:tblLayout w:type="fixed"/>
        <w:tblCellMar>
          <w:left w:w="283" w:type="dxa"/>
          <w:right w:w="283" w:type="dxa"/>
        </w:tblCellMar>
        <w:tblLook w:val="0000" w:firstRow="0" w:lastRow="0" w:firstColumn="0" w:lastColumn="0" w:noHBand="0" w:noVBand="0"/>
      </w:tblPr>
      <w:tblGrid>
        <w:gridCol w:w="10206"/>
      </w:tblGrid>
      <w:tr w:rsidR="005D7E32" w:rsidRPr="00320E4F" w14:paraId="18E43AE4" w14:textId="77777777" w:rsidTr="00B90E64">
        <w:trPr>
          <w:jc w:val="center"/>
        </w:trPr>
        <w:tc>
          <w:tcPr>
            <w:tcW w:w="10206" w:type="dxa"/>
            <w:tcMar>
              <w:left w:w="113" w:type="dxa"/>
              <w:right w:w="284" w:type="dxa"/>
            </w:tcMar>
          </w:tcPr>
          <w:p w14:paraId="65DAE085" w14:textId="77777777" w:rsidR="005D7E32" w:rsidRPr="00320E4F" w:rsidRDefault="005D7E32" w:rsidP="007925E5"/>
        </w:tc>
      </w:tr>
      <w:tr w:rsidR="005D7E32" w:rsidRPr="00320E4F" w14:paraId="413904F2" w14:textId="77777777" w:rsidTr="00B90E64">
        <w:trPr>
          <w:jc w:val="center"/>
        </w:trPr>
        <w:tc>
          <w:tcPr>
            <w:tcW w:w="10206" w:type="dxa"/>
            <w:tcMar>
              <w:left w:w="113" w:type="dxa"/>
              <w:right w:w="284" w:type="dxa"/>
            </w:tcMar>
          </w:tcPr>
          <w:p w14:paraId="06B3F7E0" w14:textId="77777777" w:rsidR="005D7E32" w:rsidRPr="00320E4F" w:rsidRDefault="005D7E32" w:rsidP="007925E5"/>
        </w:tc>
      </w:tr>
    </w:tbl>
    <w:p w14:paraId="437F9713" w14:textId="3FD23E8B" w:rsidR="00B90E64" w:rsidRPr="0050315A" w:rsidRDefault="00B90E64" w:rsidP="00B90E64">
      <w:pPr>
        <w:jc w:val="both"/>
        <w:rPr>
          <w:rFonts w:ascii="Arial" w:hAnsi="Arial" w:cs="Arial"/>
          <w:sz w:val="22"/>
          <w:szCs w:val="22"/>
        </w:rPr>
      </w:pPr>
      <w:r w:rsidRPr="0050315A">
        <w:rPr>
          <w:rFonts w:ascii="Arial" w:hAnsi="Arial" w:cs="Arial"/>
          <w:sz w:val="22"/>
          <w:szCs w:val="22"/>
        </w:rPr>
        <w:t xml:space="preserve">De accijnsontvangsten voor alcoholhoudende dranken </w:t>
      </w:r>
      <w:r w:rsidR="00030E2F">
        <w:rPr>
          <w:rFonts w:ascii="Arial" w:hAnsi="Arial" w:cs="Arial"/>
          <w:sz w:val="22"/>
          <w:szCs w:val="22"/>
        </w:rPr>
        <w:t>zijn vorig jaar gestegen</w:t>
      </w:r>
      <w:r w:rsidR="00030E2F" w:rsidRPr="0050315A">
        <w:rPr>
          <w:rFonts w:ascii="Arial" w:hAnsi="Arial" w:cs="Arial"/>
          <w:sz w:val="22"/>
          <w:szCs w:val="22"/>
        </w:rPr>
        <w:t xml:space="preserve"> </w:t>
      </w:r>
      <w:r w:rsidRPr="0050315A">
        <w:rPr>
          <w:rFonts w:ascii="Arial" w:hAnsi="Arial" w:cs="Arial"/>
          <w:sz w:val="22"/>
          <w:szCs w:val="22"/>
        </w:rPr>
        <w:t xml:space="preserve">met 4,24%. </w:t>
      </w:r>
      <w:r w:rsidR="00030E2F">
        <w:rPr>
          <w:rFonts w:ascii="Arial" w:hAnsi="Arial" w:cs="Arial"/>
          <w:sz w:val="22"/>
          <w:szCs w:val="22"/>
        </w:rPr>
        <w:t>We zien wel dat de volumes afgenomen zijn</w:t>
      </w:r>
      <w:r w:rsidR="007925E5" w:rsidRPr="0050315A">
        <w:rPr>
          <w:rFonts w:ascii="Arial" w:hAnsi="Arial" w:cs="Arial"/>
          <w:sz w:val="22"/>
          <w:szCs w:val="22"/>
        </w:rPr>
        <w:t xml:space="preserve">, wat inderdaad een weerslag zal hebben op de </w:t>
      </w:r>
      <w:r w:rsidR="00C17AD5">
        <w:rPr>
          <w:rFonts w:ascii="Arial" w:hAnsi="Arial" w:cs="Arial"/>
          <w:sz w:val="22"/>
          <w:szCs w:val="22"/>
        </w:rPr>
        <w:t>btw</w:t>
      </w:r>
      <w:r w:rsidR="007925E5" w:rsidRPr="0050315A">
        <w:rPr>
          <w:rFonts w:ascii="Arial" w:hAnsi="Arial" w:cs="Arial"/>
          <w:sz w:val="22"/>
          <w:szCs w:val="22"/>
        </w:rPr>
        <w:t>-inkomsten</w:t>
      </w:r>
      <w:r w:rsidRPr="0050315A">
        <w:rPr>
          <w:rFonts w:ascii="Arial" w:hAnsi="Arial" w:cs="Arial"/>
          <w:sz w:val="22"/>
          <w:szCs w:val="22"/>
        </w:rPr>
        <w:t>.</w:t>
      </w:r>
      <w:r w:rsidR="00030E2F">
        <w:rPr>
          <w:rFonts w:ascii="Arial" w:hAnsi="Arial" w:cs="Arial"/>
          <w:sz w:val="22"/>
          <w:szCs w:val="22"/>
        </w:rPr>
        <w:t xml:space="preserve"> Al </w:t>
      </w:r>
      <w:r w:rsidR="0060144B">
        <w:rPr>
          <w:rFonts w:ascii="Arial" w:hAnsi="Arial" w:cs="Arial"/>
          <w:sz w:val="22"/>
          <w:szCs w:val="22"/>
        </w:rPr>
        <w:t>hebben daar natuurlijk ook de</w:t>
      </w:r>
      <w:r w:rsidR="00030E2F">
        <w:rPr>
          <w:rFonts w:ascii="Arial" w:hAnsi="Arial" w:cs="Arial"/>
          <w:sz w:val="22"/>
          <w:szCs w:val="22"/>
        </w:rPr>
        <w:t xml:space="preserve"> hogere prijzen</w:t>
      </w:r>
      <w:r w:rsidR="0060144B">
        <w:rPr>
          <w:rFonts w:ascii="Arial" w:hAnsi="Arial" w:cs="Arial"/>
          <w:sz w:val="22"/>
          <w:szCs w:val="22"/>
        </w:rPr>
        <w:t xml:space="preserve"> hun impact, alsook het consumentengedrag (bv. </w:t>
      </w:r>
      <w:r w:rsidR="006970BC">
        <w:rPr>
          <w:rFonts w:ascii="Arial" w:hAnsi="Arial" w:cs="Arial"/>
          <w:sz w:val="22"/>
          <w:szCs w:val="22"/>
        </w:rPr>
        <w:t>o</w:t>
      </w:r>
      <w:r w:rsidR="0060144B">
        <w:rPr>
          <w:rFonts w:ascii="Arial" w:hAnsi="Arial" w:cs="Arial"/>
          <w:sz w:val="22"/>
          <w:szCs w:val="22"/>
        </w:rPr>
        <w:t>verstappen op een ander merk)</w:t>
      </w:r>
      <w:r w:rsidR="00030E2F">
        <w:rPr>
          <w:rFonts w:ascii="Arial" w:hAnsi="Arial" w:cs="Arial"/>
          <w:sz w:val="22"/>
          <w:szCs w:val="22"/>
        </w:rPr>
        <w:t>.</w:t>
      </w:r>
      <w:r w:rsidRPr="0050315A">
        <w:rPr>
          <w:rFonts w:ascii="Arial" w:hAnsi="Arial" w:cs="Arial"/>
          <w:sz w:val="22"/>
          <w:szCs w:val="22"/>
        </w:rPr>
        <w:t xml:space="preserve"> </w:t>
      </w:r>
    </w:p>
    <w:p w14:paraId="49243CD0" w14:textId="77777777" w:rsidR="00CE7800" w:rsidRDefault="00CE7800" w:rsidP="00C102B7">
      <w:pPr>
        <w:tabs>
          <w:tab w:val="left" w:pos="1417"/>
        </w:tabs>
        <w:jc w:val="both"/>
        <w:rPr>
          <w:rFonts w:ascii="Arial" w:hAnsi="Arial" w:cs="Arial"/>
          <w:sz w:val="22"/>
          <w:szCs w:val="22"/>
          <w:lang w:val="nl-BE"/>
        </w:rPr>
      </w:pPr>
    </w:p>
    <w:p w14:paraId="0E3DE27D" w14:textId="77777777" w:rsidR="00CE7800" w:rsidRPr="0050315A" w:rsidRDefault="00CE7800" w:rsidP="00C102B7">
      <w:pPr>
        <w:tabs>
          <w:tab w:val="left" w:pos="1417"/>
        </w:tabs>
        <w:jc w:val="both"/>
        <w:rPr>
          <w:rFonts w:ascii="Arial" w:hAnsi="Arial" w:cs="Arial"/>
          <w:sz w:val="22"/>
          <w:szCs w:val="22"/>
          <w:lang w:val="nl-BE"/>
        </w:rPr>
      </w:pPr>
    </w:p>
    <w:p w14:paraId="7B143117" w14:textId="77777777" w:rsidR="00CE7800" w:rsidRDefault="00CE7800" w:rsidP="00C102B7">
      <w:pPr>
        <w:tabs>
          <w:tab w:val="left" w:pos="1417"/>
        </w:tabs>
        <w:jc w:val="both"/>
        <w:rPr>
          <w:rFonts w:ascii="Arial" w:hAnsi="Arial" w:cs="Arial"/>
          <w:sz w:val="22"/>
          <w:szCs w:val="22"/>
        </w:rPr>
      </w:pPr>
    </w:p>
    <w:p w14:paraId="50AC2EFF" w14:textId="1598E184" w:rsidR="00CE7800" w:rsidRDefault="00CE7800" w:rsidP="00CE7800">
      <w:pPr>
        <w:tabs>
          <w:tab w:val="left" w:pos="1417"/>
        </w:tabs>
        <w:jc w:val="both"/>
        <w:rPr>
          <w:rFonts w:ascii="Arial" w:hAnsi="Arial" w:cs="Arial"/>
          <w:sz w:val="22"/>
          <w:szCs w:val="22"/>
        </w:rPr>
      </w:pPr>
      <w:r>
        <w:rPr>
          <w:rFonts w:ascii="Arial" w:hAnsi="Arial" w:cs="Arial"/>
          <w:sz w:val="22"/>
          <w:szCs w:val="22"/>
        </w:rPr>
        <w:t>3. De Algemene Administratie van de Douane en Accijnzen heeft geen zicht op het volume aan grensaankopen voor wijnen en gedistilleerde dranken.</w:t>
      </w:r>
    </w:p>
    <w:p w14:paraId="7893DF59" w14:textId="77777777" w:rsidR="00CE7800" w:rsidRDefault="00CE7800" w:rsidP="00CE7800">
      <w:pPr>
        <w:tabs>
          <w:tab w:val="left" w:pos="1417"/>
        </w:tabs>
        <w:jc w:val="both"/>
        <w:rPr>
          <w:rFonts w:ascii="Arial" w:hAnsi="Arial" w:cs="Arial"/>
          <w:sz w:val="22"/>
          <w:szCs w:val="22"/>
        </w:rPr>
      </w:pPr>
    </w:p>
    <w:p w14:paraId="5BEC5D0E" w14:textId="77777777" w:rsidR="00CE7800" w:rsidRDefault="00CE7800" w:rsidP="00CE7800">
      <w:pPr>
        <w:tabs>
          <w:tab w:val="left" w:pos="1417"/>
        </w:tabs>
        <w:jc w:val="both"/>
        <w:rPr>
          <w:rFonts w:ascii="Arial" w:hAnsi="Arial" w:cs="Arial"/>
          <w:sz w:val="22"/>
          <w:szCs w:val="22"/>
          <w:lang w:val="nl-BE"/>
        </w:rPr>
      </w:pPr>
      <w:r>
        <w:rPr>
          <w:rFonts w:ascii="Arial" w:hAnsi="Arial" w:cs="Arial"/>
          <w:sz w:val="22"/>
          <w:szCs w:val="22"/>
        </w:rPr>
        <w:t xml:space="preserve">4. en 5. </w:t>
      </w:r>
      <w:r>
        <w:rPr>
          <w:rFonts w:ascii="Arial" w:hAnsi="Arial" w:cs="Arial"/>
          <w:sz w:val="22"/>
          <w:szCs w:val="22"/>
          <w:lang w:val="nl-BE"/>
        </w:rPr>
        <w:t>Het accijnsbeleid voor alcohol en alcoholhoudende dranken, en bij uitbreiding voor alle accijnsgoederen en –producten, wordt continu gemonitord en wordt op geregelde tijdstippen besproken en geëvalueerd binnen de regering, dus ook met de Minister van Volksgezondheid.</w:t>
      </w:r>
    </w:p>
    <w:p w14:paraId="15BAC884" w14:textId="77777777" w:rsidR="00CE7800" w:rsidRDefault="00CE7800" w:rsidP="00CE7800">
      <w:pPr>
        <w:tabs>
          <w:tab w:val="left" w:pos="1417"/>
        </w:tabs>
        <w:jc w:val="both"/>
        <w:rPr>
          <w:rFonts w:ascii="Arial" w:hAnsi="Arial" w:cs="Arial"/>
          <w:sz w:val="22"/>
          <w:szCs w:val="22"/>
          <w:lang w:val="nl-BE"/>
        </w:rPr>
      </w:pPr>
    </w:p>
    <w:p w14:paraId="39AB2F0B" w14:textId="40F9E1B1" w:rsidR="00CE7800" w:rsidRDefault="00CE7800" w:rsidP="00CE7800">
      <w:pPr>
        <w:tabs>
          <w:tab w:val="left" w:pos="1417"/>
        </w:tabs>
        <w:jc w:val="both"/>
        <w:rPr>
          <w:rFonts w:ascii="Arial" w:hAnsi="Arial" w:cs="Arial"/>
          <w:sz w:val="22"/>
          <w:szCs w:val="22"/>
          <w:lang w:val="nl-BE"/>
        </w:rPr>
      </w:pPr>
      <w:r>
        <w:rPr>
          <w:rFonts w:ascii="Arial" w:hAnsi="Arial" w:cs="Arial"/>
          <w:sz w:val="22"/>
          <w:szCs w:val="22"/>
          <w:lang w:val="nl-BE"/>
        </w:rPr>
        <w:t>In het kader van deze monitoring wordt vanzelfsprekend rekening gehouden met verschillende factoren, waaronder de fiscale ontvangsten, de effecten op de verkoop en de gezondheidsdoelstellingen.</w:t>
      </w:r>
    </w:p>
    <w:p w14:paraId="4D541DBD" w14:textId="5EA46EED" w:rsidR="00DF1379" w:rsidRDefault="00DF1379" w:rsidP="00CE7800">
      <w:pPr>
        <w:tabs>
          <w:tab w:val="left" w:pos="1417"/>
        </w:tabs>
        <w:jc w:val="both"/>
        <w:rPr>
          <w:rFonts w:ascii="Arial" w:hAnsi="Arial" w:cs="Arial"/>
          <w:sz w:val="22"/>
          <w:szCs w:val="22"/>
          <w:lang w:val="nl-BE"/>
        </w:rPr>
      </w:pPr>
    </w:p>
    <w:p w14:paraId="6540500A" w14:textId="10E2A824" w:rsidR="00DF1379" w:rsidRPr="00B64B94" w:rsidRDefault="00DF1379" w:rsidP="00CE7800">
      <w:pPr>
        <w:tabs>
          <w:tab w:val="left" w:pos="1417"/>
        </w:tabs>
        <w:jc w:val="both"/>
        <w:rPr>
          <w:rFonts w:ascii="Arial" w:hAnsi="Arial" w:cs="Arial"/>
          <w:sz w:val="22"/>
          <w:szCs w:val="22"/>
          <w:lang w:val="nl-BE"/>
        </w:rPr>
      </w:pPr>
      <w:r>
        <w:rPr>
          <w:rFonts w:ascii="Arial" w:hAnsi="Arial" w:cs="Arial"/>
          <w:sz w:val="22"/>
          <w:szCs w:val="22"/>
          <w:lang w:val="nl-BE"/>
        </w:rPr>
        <w:t>Momenteel zijn geen aanpassingen voorzien.</w:t>
      </w:r>
    </w:p>
    <w:p w14:paraId="77389096" w14:textId="5F41ED83" w:rsidR="00CE7800" w:rsidRDefault="00CE7800" w:rsidP="00CE7800">
      <w:pPr>
        <w:tabs>
          <w:tab w:val="left" w:pos="1417"/>
        </w:tabs>
        <w:jc w:val="both"/>
        <w:rPr>
          <w:rFonts w:ascii="Arial" w:hAnsi="Arial" w:cs="Arial"/>
          <w:sz w:val="22"/>
          <w:szCs w:val="22"/>
          <w:lang w:val="nl-BE"/>
        </w:rPr>
      </w:pPr>
    </w:p>
    <w:p w14:paraId="500FB14B" w14:textId="77777777" w:rsidR="00CE7800" w:rsidRPr="00CE7800" w:rsidRDefault="00CE7800" w:rsidP="00CE7800">
      <w:pPr>
        <w:tabs>
          <w:tab w:val="left" w:pos="1417"/>
        </w:tabs>
        <w:jc w:val="both"/>
        <w:rPr>
          <w:rFonts w:ascii="Arial" w:hAnsi="Arial" w:cs="Arial"/>
          <w:sz w:val="22"/>
          <w:szCs w:val="22"/>
          <w:lang w:val="nl-BE"/>
        </w:rPr>
      </w:pPr>
    </w:p>
    <w:p w14:paraId="05116C2E" w14:textId="77777777" w:rsidR="000924F1" w:rsidRPr="00CE7800" w:rsidRDefault="000924F1" w:rsidP="00C102B7">
      <w:pPr>
        <w:tabs>
          <w:tab w:val="left" w:pos="1417"/>
        </w:tabs>
        <w:jc w:val="both"/>
        <w:rPr>
          <w:rFonts w:ascii="Arial" w:hAnsi="Arial" w:cs="Arial"/>
          <w:sz w:val="22"/>
          <w:szCs w:val="22"/>
          <w:lang w:val="nl-BE"/>
        </w:rPr>
      </w:pPr>
    </w:p>
    <w:p w14:paraId="086FE3B3" w14:textId="77777777" w:rsidR="007E038B" w:rsidRDefault="007E038B" w:rsidP="00C102B7">
      <w:pPr>
        <w:tabs>
          <w:tab w:val="left" w:pos="1417"/>
        </w:tabs>
        <w:jc w:val="both"/>
        <w:rPr>
          <w:rFonts w:ascii="Arial" w:hAnsi="Arial" w:cs="Arial"/>
          <w:b/>
          <w:spacing w:val="-3"/>
          <w:sz w:val="20"/>
          <w:lang w:val="nl-BE"/>
        </w:rPr>
      </w:pPr>
      <w:r>
        <w:rPr>
          <w:rFonts w:ascii="Arial" w:hAnsi="Arial" w:cs="Arial"/>
          <w:b/>
          <w:sz w:val="20"/>
          <w:lang w:val="nl-BE"/>
        </w:rPr>
        <w:t>Minister van Financiën</w:t>
      </w:r>
      <w:r w:rsidR="003A247D" w:rsidRPr="003A247D">
        <w:rPr>
          <w:rFonts w:ascii="Arial" w:hAnsi="Arial" w:cs="Arial"/>
          <w:b/>
          <w:bCs/>
          <w:sz w:val="20"/>
        </w:rPr>
        <w:t>, belast met Bestrijding van de fiscale fraude</w:t>
      </w:r>
    </w:p>
    <w:p w14:paraId="477F0C57" w14:textId="77777777" w:rsidR="007E038B" w:rsidRDefault="007E038B" w:rsidP="00C102B7">
      <w:pPr>
        <w:tabs>
          <w:tab w:val="left" w:pos="1417"/>
        </w:tabs>
        <w:jc w:val="both"/>
        <w:rPr>
          <w:rFonts w:ascii="Arial" w:hAnsi="Arial" w:cs="Arial"/>
          <w:b/>
          <w:spacing w:val="-3"/>
          <w:sz w:val="20"/>
          <w:lang w:val="nl-BE"/>
        </w:rPr>
      </w:pPr>
    </w:p>
    <w:p w14:paraId="700935ED" w14:textId="77777777" w:rsidR="007E038B" w:rsidRDefault="007E038B" w:rsidP="00C102B7">
      <w:pPr>
        <w:tabs>
          <w:tab w:val="left" w:pos="1417"/>
        </w:tabs>
        <w:jc w:val="both"/>
        <w:rPr>
          <w:rFonts w:ascii="Arial" w:hAnsi="Arial" w:cs="Arial"/>
          <w:b/>
          <w:spacing w:val="-3"/>
          <w:sz w:val="20"/>
          <w:lang w:val="nl-BE"/>
        </w:rPr>
      </w:pPr>
    </w:p>
    <w:p w14:paraId="2C66BA83" w14:textId="77777777" w:rsidR="007E038B" w:rsidRDefault="007E038B" w:rsidP="00C102B7">
      <w:pPr>
        <w:tabs>
          <w:tab w:val="left" w:pos="1417"/>
        </w:tabs>
        <w:jc w:val="both"/>
        <w:rPr>
          <w:rFonts w:ascii="Arial" w:hAnsi="Arial" w:cs="Arial"/>
          <w:b/>
          <w:spacing w:val="-3"/>
          <w:sz w:val="20"/>
          <w:lang w:val="nl-BE"/>
        </w:rPr>
      </w:pPr>
    </w:p>
    <w:p w14:paraId="7C0DFF57" w14:textId="77777777" w:rsidR="007E038B" w:rsidRDefault="007E038B" w:rsidP="00C102B7">
      <w:pPr>
        <w:tabs>
          <w:tab w:val="left" w:pos="1417"/>
        </w:tabs>
        <w:jc w:val="both"/>
        <w:rPr>
          <w:rFonts w:ascii="Arial" w:hAnsi="Arial" w:cs="Arial"/>
          <w:b/>
          <w:spacing w:val="-3"/>
          <w:sz w:val="20"/>
          <w:lang w:val="nl-BE"/>
        </w:rPr>
      </w:pPr>
    </w:p>
    <w:p w14:paraId="40099EF2" w14:textId="77777777" w:rsidR="007E038B" w:rsidRDefault="007E038B" w:rsidP="00C102B7">
      <w:pPr>
        <w:tabs>
          <w:tab w:val="left" w:pos="1417"/>
        </w:tabs>
        <w:jc w:val="both"/>
        <w:rPr>
          <w:rFonts w:ascii="Arial" w:hAnsi="Arial" w:cs="Arial"/>
          <w:b/>
          <w:spacing w:val="-3"/>
          <w:sz w:val="20"/>
          <w:lang w:val="nl-BE"/>
        </w:rPr>
      </w:pPr>
    </w:p>
    <w:p w14:paraId="4C238AF2" w14:textId="77777777" w:rsidR="007E038B" w:rsidRDefault="007E038B" w:rsidP="00C102B7">
      <w:pPr>
        <w:tabs>
          <w:tab w:val="left" w:pos="1417"/>
        </w:tabs>
        <w:jc w:val="both"/>
        <w:rPr>
          <w:rFonts w:ascii="Arial" w:hAnsi="Arial" w:cs="Arial"/>
          <w:b/>
          <w:spacing w:val="-3"/>
          <w:sz w:val="20"/>
          <w:lang w:val="nl-BE"/>
        </w:rPr>
      </w:pPr>
    </w:p>
    <w:p w14:paraId="0A964860" w14:textId="77777777" w:rsidR="007E038B" w:rsidRPr="00B44AE0" w:rsidRDefault="007E038B" w:rsidP="00C102B7">
      <w:pPr>
        <w:jc w:val="both"/>
        <w:rPr>
          <w:lang w:val="nl-BE"/>
        </w:rPr>
      </w:pPr>
      <w:r w:rsidRPr="00B44AE0">
        <w:rPr>
          <w:rFonts w:ascii="Arial" w:hAnsi="Arial" w:cs="Arial"/>
          <w:b/>
          <w:spacing w:val="-3"/>
          <w:sz w:val="22"/>
          <w:szCs w:val="22"/>
          <w:lang w:val="nl-BE"/>
        </w:rPr>
        <w:t>Johan VAN OVERTVELDT</w:t>
      </w:r>
    </w:p>
    <w:p w14:paraId="426331EA" w14:textId="77777777" w:rsidR="00614281" w:rsidRPr="00B44AE0" w:rsidRDefault="00614281" w:rsidP="00C102B7">
      <w:pPr>
        <w:tabs>
          <w:tab w:val="left" w:pos="1417"/>
        </w:tabs>
        <w:jc w:val="both"/>
        <w:rPr>
          <w:rFonts w:ascii="Arial" w:hAnsi="Arial" w:cs="Arial"/>
          <w:spacing w:val="-3"/>
          <w:sz w:val="20"/>
          <w:lang w:val="nl-BE"/>
        </w:rPr>
      </w:pPr>
    </w:p>
    <w:p w14:paraId="727EA9D5" w14:textId="77777777" w:rsidR="007E038B" w:rsidRPr="00B44AE0" w:rsidRDefault="007E038B" w:rsidP="00C102B7">
      <w:pPr>
        <w:tabs>
          <w:tab w:val="left" w:pos="1417"/>
        </w:tabs>
        <w:jc w:val="both"/>
        <w:rPr>
          <w:rFonts w:ascii="Arial" w:hAnsi="Arial" w:cs="Arial"/>
          <w:b/>
          <w:sz w:val="22"/>
          <w:szCs w:val="22"/>
          <w:lang w:val="nl-BE"/>
        </w:rPr>
      </w:pPr>
    </w:p>
    <w:p w14:paraId="004649B1" w14:textId="77777777" w:rsidR="007E038B" w:rsidRPr="00B44AE0" w:rsidRDefault="007E038B" w:rsidP="00C102B7">
      <w:pPr>
        <w:tabs>
          <w:tab w:val="left" w:pos="1417"/>
        </w:tabs>
        <w:jc w:val="both"/>
        <w:rPr>
          <w:rFonts w:ascii="Arial" w:hAnsi="Arial" w:cs="Arial"/>
          <w:b/>
          <w:sz w:val="22"/>
          <w:szCs w:val="22"/>
          <w:lang w:val="nl-BE"/>
        </w:rPr>
      </w:pPr>
    </w:p>
    <w:p w14:paraId="2385C1C7" w14:textId="77777777" w:rsidR="00614281" w:rsidRPr="00B44AE0" w:rsidRDefault="00614281" w:rsidP="00C102B7">
      <w:pPr>
        <w:tabs>
          <w:tab w:val="left" w:pos="1417"/>
        </w:tabs>
        <w:jc w:val="both"/>
        <w:rPr>
          <w:rFonts w:ascii="Arial" w:hAnsi="Arial" w:cs="Arial"/>
          <w:b/>
          <w:sz w:val="22"/>
          <w:szCs w:val="22"/>
          <w:lang w:val="nl-BE"/>
        </w:rPr>
      </w:pPr>
      <w:r w:rsidRPr="00B44AE0">
        <w:rPr>
          <w:rFonts w:ascii="Arial" w:hAnsi="Arial" w:cs="Arial"/>
          <w:b/>
          <w:sz w:val="22"/>
          <w:szCs w:val="22"/>
          <w:lang w:val="nl-BE"/>
        </w:rPr>
        <w:t>REPONSE</w:t>
      </w:r>
    </w:p>
    <w:p w14:paraId="5D67A4CB" w14:textId="77777777" w:rsidR="00F33F36" w:rsidRPr="00B44AE0" w:rsidRDefault="00F33F36" w:rsidP="00C102B7">
      <w:pPr>
        <w:tabs>
          <w:tab w:val="left" w:pos="1417"/>
        </w:tabs>
        <w:jc w:val="both"/>
        <w:rPr>
          <w:rFonts w:ascii="Arial" w:hAnsi="Arial" w:cs="Arial"/>
          <w:b/>
          <w:sz w:val="22"/>
          <w:szCs w:val="22"/>
          <w:lang w:val="nl-BE"/>
        </w:rPr>
      </w:pPr>
    </w:p>
    <w:p w14:paraId="6C29DC21" w14:textId="77777777" w:rsidR="00F33F36" w:rsidRPr="00B44AE0" w:rsidRDefault="00F33F36" w:rsidP="00C102B7">
      <w:pPr>
        <w:tabs>
          <w:tab w:val="left" w:pos="1417"/>
        </w:tabs>
        <w:jc w:val="both"/>
        <w:rPr>
          <w:rFonts w:ascii="Arial" w:hAnsi="Arial" w:cs="Arial"/>
          <w:sz w:val="22"/>
          <w:szCs w:val="22"/>
          <w:lang w:val="nl-BE"/>
        </w:rPr>
      </w:pPr>
    </w:p>
    <w:p w14:paraId="1CEEDCC5" w14:textId="77777777" w:rsidR="00614281" w:rsidRPr="00B44AE0" w:rsidRDefault="00614281" w:rsidP="00C102B7">
      <w:pPr>
        <w:tabs>
          <w:tab w:val="left" w:pos="1417"/>
        </w:tabs>
        <w:jc w:val="both"/>
        <w:rPr>
          <w:rFonts w:ascii="Arial" w:hAnsi="Arial" w:cs="Arial"/>
          <w:sz w:val="20"/>
          <w:lang w:val="nl-BE"/>
        </w:rPr>
      </w:pPr>
    </w:p>
    <w:p w14:paraId="28658D05" w14:textId="7FB642DE" w:rsidR="00221C0F" w:rsidRDefault="00F33F36" w:rsidP="00F33F36">
      <w:pPr>
        <w:tabs>
          <w:tab w:val="left" w:pos="1417"/>
        </w:tabs>
        <w:jc w:val="both"/>
        <w:rPr>
          <w:rFonts w:ascii="Arial" w:hAnsi="Arial" w:cs="Arial"/>
          <w:sz w:val="22"/>
          <w:szCs w:val="22"/>
          <w:lang w:val="fr-BE"/>
        </w:rPr>
      </w:pPr>
      <w:r w:rsidRPr="00B44AE0">
        <w:rPr>
          <w:rFonts w:ascii="Arial" w:hAnsi="Arial" w:cs="Arial"/>
          <w:sz w:val="22"/>
          <w:szCs w:val="22"/>
          <w:lang w:val="nl-BE"/>
        </w:rPr>
        <w:t xml:space="preserve">1 et 2. </w:t>
      </w:r>
      <w:r>
        <w:rPr>
          <w:rFonts w:ascii="Arial" w:hAnsi="Arial" w:cs="Arial"/>
          <w:sz w:val="22"/>
          <w:szCs w:val="22"/>
          <w:lang w:val="fr-BE"/>
        </w:rPr>
        <w:t xml:space="preserve">Les chiffres cités par le secteur ne </w:t>
      </w:r>
      <w:r w:rsidR="002346ED">
        <w:rPr>
          <w:rFonts w:ascii="Arial" w:hAnsi="Arial" w:cs="Arial"/>
          <w:sz w:val="22"/>
          <w:szCs w:val="22"/>
          <w:lang w:val="fr-BE"/>
        </w:rPr>
        <w:t>me</w:t>
      </w:r>
      <w:r>
        <w:rPr>
          <w:rFonts w:ascii="Arial" w:hAnsi="Arial" w:cs="Arial"/>
          <w:sz w:val="22"/>
          <w:szCs w:val="22"/>
          <w:lang w:val="fr-BE"/>
        </w:rPr>
        <w:t xml:space="preserve"> sont pas connus</w:t>
      </w:r>
      <w:r w:rsidR="005C43B8" w:rsidRPr="009A0D91">
        <w:rPr>
          <w:rFonts w:ascii="Arial" w:hAnsi="Arial" w:cs="Arial"/>
          <w:color w:val="222222"/>
          <w:sz w:val="22"/>
          <w:lang w:val="fr-FR"/>
        </w:rPr>
        <w:t>, bien que je ne nie pas que l'année dernière le rendement des droits d'accise sur les</w:t>
      </w:r>
      <w:r w:rsidR="005C43B8">
        <w:rPr>
          <w:rFonts w:ascii="Arial" w:hAnsi="Arial" w:cs="Arial"/>
          <w:color w:val="222222"/>
          <w:sz w:val="22"/>
          <w:lang w:val="fr-FR"/>
        </w:rPr>
        <w:t xml:space="preserve"> boissons</w:t>
      </w:r>
      <w:r w:rsidR="005C43B8" w:rsidRPr="009A0D91">
        <w:rPr>
          <w:rFonts w:ascii="Arial" w:hAnsi="Arial" w:cs="Arial"/>
          <w:color w:val="222222"/>
          <w:sz w:val="22"/>
          <w:lang w:val="fr-FR"/>
        </w:rPr>
        <w:t xml:space="preserve"> spiritueu</w:t>
      </w:r>
      <w:r w:rsidR="005C43B8">
        <w:rPr>
          <w:rFonts w:ascii="Arial" w:hAnsi="Arial" w:cs="Arial"/>
          <w:color w:val="222222"/>
          <w:sz w:val="22"/>
          <w:lang w:val="fr-FR"/>
        </w:rPr>
        <w:t>ses</w:t>
      </w:r>
      <w:r w:rsidR="005C43B8" w:rsidRPr="009A0D91">
        <w:rPr>
          <w:rFonts w:ascii="Arial" w:hAnsi="Arial" w:cs="Arial"/>
          <w:color w:val="222222"/>
          <w:sz w:val="22"/>
          <w:lang w:val="fr-FR"/>
        </w:rPr>
        <w:t xml:space="preserve"> ait été inférieur aux estimations initiales. Cependant, nous maintenons un suivi continu</w:t>
      </w:r>
      <w:r w:rsidR="005C43B8" w:rsidRPr="00C17AD5">
        <w:rPr>
          <w:rFonts w:ascii="Arial" w:hAnsi="Arial" w:cs="Arial"/>
          <w:color w:val="222222"/>
          <w:sz w:val="22"/>
          <w:lang w:val="fr-FR"/>
        </w:rPr>
        <w:t xml:space="preserve">, ce qui signifie que des ajustements sont parfois apportés pendant le contrôle budgétaire. Nous faisons ce suivi sur base des volumes d'alcool absolu et des recettes d'accise </w:t>
      </w:r>
      <w:r w:rsidR="00745BD1" w:rsidRPr="00C17AD5">
        <w:rPr>
          <w:rFonts w:ascii="Arial" w:hAnsi="Arial" w:cs="Arial"/>
          <w:color w:val="222222"/>
          <w:sz w:val="22"/>
          <w:lang w:val="fr-FR"/>
        </w:rPr>
        <w:t xml:space="preserve">qui y </w:t>
      </w:r>
      <w:r w:rsidR="00C17AD5" w:rsidRPr="00C17AD5">
        <w:rPr>
          <w:rFonts w:ascii="Arial" w:hAnsi="Arial" w:cs="Arial"/>
          <w:color w:val="222222"/>
          <w:sz w:val="22"/>
          <w:lang w:val="fr-FR"/>
        </w:rPr>
        <w:t>afférentes</w:t>
      </w:r>
      <w:r w:rsidR="005C43B8" w:rsidRPr="00C17AD5">
        <w:rPr>
          <w:rFonts w:ascii="Arial" w:hAnsi="Arial" w:cs="Arial"/>
          <w:color w:val="222222"/>
          <w:sz w:val="22"/>
          <w:lang w:val="fr-FR"/>
        </w:rPr>
        <w:t>.</w:t>
      </w:r>
    </w:p>
    <w:p w14:paraId="5ADFB1FC" w14:textId="77777777" w:rsidR="00221C0F" w:rsidRDefault="00221C0F" w:rsidP="00F33F36">
      <w:pPr>
        <w:tabs>
          <w:tab w:val="left" w:pos="1417"/>
        </w:tabs>
        <w:jc w:val="both"/>
        <w:rPr>
          <w:rFonts w:ascii="Arial" w:hAnsi="Arial" w:cs="Arial"/>
          <w:sz w:val="22"/>
          <w:szCs w:val="22"/>
          <w:u w:val="single"/>
          <w:lang w:val="fr-BE"/>
        </w:rPr>
      </w:pPr>
    </w:p>
    <w:p w14:paraId="01EF8228" w14:textId="77777777" w:rsidR="00D77987" w:rsidRDefault="00D77987" w:rsidP="00F33F36">
      <w:pPr>
        <w:tabs>
          <w:tab w:val="left" w:pos="1417"/>
        </w:tabs>
        <w:jc w:val="both"/>
        <w:rPr>
          <w:rFonts w:ascii="Arial" w:hAnsi="Arial" w:cs="Arial"/>
          <w:sz w:val="22"/>
          <w:szCs w:val="22"/>
          <w:lang w:val="fr-BE"/>
        </w:rPr>
      </w:pPr>
    </w:p>
    <w:p w14:paraId="64F7823E" w14:textId="77777777" w:rsidR="00C17AD5" w:rsidRDefault="00D77987" w:rsidP="002346ED">
      <w:pPr>
        <w:tabs>
          <w:tab w:val="left" w:pos="1417"/>
        </w:tabs>
        <w:jc w:val="both"/>
        <w:rPr>
          <w:rFonts w:ascii="Arial" w:hAnsi="Arial" w:cs="Arial"/>
          <w:sz w:val="22"/>
          <w:szCs w:val="22"/>
          <w:lang w:val="fr-BE"/>
        </w:rPr>
      </w:pPr>
      <w:r>
        <w:rPr>
          <w:rFonts w:ascii="Arial" w:hAnsi="Arial" w:cs="Arial"/>
          <w:sz w:val="22"/>
          <w:szCs w:val="22"/>
          <w:lang w:val="fr-BE"/>
        </w:rPr>
        <w:t>Les recettes en matière d’accise</w:t>
      </w:r>
      <w:r w:rsidR="0006733E">
        <w:rPr>
          <w:rFonts w:ascii="Arial" w:hAnsi="Arial" w:cs="Arial"/>
          <w:sz w:val="22"/>
          <w:szCs w:val="22"/>
          <w:lang w:val="fr-BE"/>
        </w:rPr>
        <w:t>s</w:t>
      </w:r>
      <w:r>
        <w:rPr>
          <w:rFonts w:ascii="Arial" w:hAnsi="Arial" w:cs="Arial"/>
          <w:sz w:val="22"/>
          <w:szCs w:val="22"/>
          <w:lang w:val="fr-BE"/>
        </w:rPr>
        <w:t xml:space="preserve"> pour les boissons alcoolisées</w:t>
      </w:r>
      <w:r w:rsidR="005719E5">
        <w:rPr>
          <w:rFonts w:ascii="Arial" w:hAnsi="Arial" w:cs="Arial"/>
          <w:sz w:val="22"/>
          <w:szCs w:val="22"/>
          <w:lang w:val="fr-BE"/>
        </w:rPr>
        <w:t xml:space="preserve"> ont</w:t>
      </w:r>
      <w:r>
        <w:rPr>
          <w:rFonts w:ascii="Arial" w:hAnsi="Arial" w:cs="Arial"/>
          <w:sz w:val="22"/>
          <w:szCs w:val="22"/>
          <w:lang w:val="fr-BE"/>
        </w:rPr>
        <w:t xml:space="preserve"> augment</w:t>
      </w:r>
      <w:r w:rsidR="005719E5">
        <w:rPr>
          <w:rFonts w:ascii="Arial" w:hAnsi="Arial" w:cs="Arial"/>
          <w:sz w:val="22"/>
          <w:szCs w:val="22"/>
          <w:lang w:val="fr-BE"/>
        </w:rPr>
        <w:t>é</w:t>
      </w:r>
      <w:r>
        <w:rPr>
          <w:rFonts w:ascii="Arial" w:hAnsi="Arial" w:cs="Arial"/>
          <w:sz w:val="22"/>
          <w:szCs w:val="22"/>
          <w:lang w:val="fr-BE"/>
        </w:rPr>
        <w:t xml:space="preserve"> de 4,24%</w:t>
      </w:r>
      <w:r w:rsidR="005719E5">
        <w:rPr>
          <w:rFonts w:ascii="Arial" w:hAnsi="Arial" w:cs="Arial"/>
          <w:sz w:val="22"/>
          <w:szCs w:val="22"/>
          <w:lang w:val="fr-BE"/>
        </w:rPr>
        <w:t xml:space="preserve"> l’année dernière</w:t>
      </w:r>
      <w:r>
        <w:rPr>
          <w:rFonts w:ascii="Arial" w:hAnsi="Arial" w:cs="Arial"/>
          <w:sz w:val="22"/>
          <w:szCs w:val="22"/>
          <w:lang w:val="fr-BE"/>
        </w:rPr>
        <w:t>.</w:t>
      </w:r>
      <w:r w:rsidR="002231EB">
        <w:rPr>
          <w:rFonts w:ascii="Arial" w:hAnsi="Arial" w:cs="Arial"/>
          <w:sz w:val="22"/>
          <w:szCs w:val="22"/>
          <w:lang w:val="fr-BE"/>
        </w:rPr>
        <w:t xml:space="preserve"> </w:t>
      </w:r>
      <w:r w:rsidR="005719E5" w:rsidRPr="00E74FEA">
        <w:rPr>
          <w:rFonts w:ascii="Arial" w:hAnsi="Arial" w:cs="Arial"/>
          <w:color w:val="222222"/>
          <w:sz w:val="22"/>
          <w:lang w:val="fr-FR"/>
        </w:rPr>
        <w:t>Nous constatons également que les volumes ont diminué, ce qui aura effectivement un impact sur les recettes de la TVA. Bien sûr, les prix plus élevés ont également un impact, tout comme le comportement des consommateurs (</w:t>
      </w:r>
      <w:r w:rsidR="00C17AD5">
        <w:rPr>
          <w:rFonts w:ascii="Arial" w:hAnsi="Arial" w:cs="Arial"/>
          <w:color w:val="222222"/>
          <w:sz w:val="22"/>
          <w:lang w:val="fr-FR"/>
        </w:rPr>
        <w:t xml:space="preserve">changer de </w:t>
      </w:r>
      <w:r w:rsidR="00C17AD5">
        <w:rPr>
          <w:rFonts w:ascii="Arial" w:hAnsi="Arial" w:cs="Arial"/>
          <w:color w:val="222222"/>
          <w:sz w:val="22"/>
          <w:lang w:val="fr-FR"/>
        </w:rPr>
        <w:lastRenderedPageBreak/>
        <w:t>marque par exemple</w:t>
      </w:r>
      <w:r w:rsidR="005719E5" w:rsidRPr="00E74FEA">
        <w:rPr>
          <w:rFonts w:ascii="Arial" w:hAnsi="Arial" w:cs="Arial"/>
          <w:color w:val="222222"/>
          <w:sz w:val="22"/>
          <w:lang w:val="fr-FR"/>
        </w:rPr>
        <w:t>).</w:t>
      </w:r>
    </w:p>
    <w:p w14:paraId="3DDAC448" w14:textId="77777777" w:rsidR="00C17AD5" w:rsidRDefault="00C17AD5" w:rsidP="002346ED">
      <w:pPr>
        <w:tabs>
          <w:tab w:val="left" w:pos="1417"/>
        </w:tabs>
        <w:jc w:val="both"/>
        <w:rPr>
          <w:rFonts w:ascii="Arial" w:hAnsi="Arial" w:cs="Arial"/>
          <w:sz w:val="22"/>
          <w:szCs w:val="22"/>
          <w:lang w:val="fr-BE"/>
        </w:rPr>
      </w:pPr>
    </w:p>
    <w:p w14:paraId="67795AF6" w14:textId="064C72BF" w:rsidR="006947AE" w:rsidRDefault="006947AE" w:rsidP="002346ED">
      <w:pPr>
        <w:tabs>
          <w:tab w:val="left" w:pos="1417"/>
        </w:tabs>
        <w:jc w:val="both"/>
        <w:rPr>
          <w:rFonts w:ascii="Arial" w:hAnsi="Arial" w:cs="Arial"/>
          <w:sz w:val="22"/>
          <w:szCs w:val="22"/>
          <w:lang w:val="fr-BE"/>
        </w:rPr>
      </w:pPr>
      <w:r>
        <w:rPr>
          <w:rFonts w:ascii="Arial" w:hAnsi="Arial" w:cs="Arial"/>
          <w:sz w:val="22"/>
          <w:szCs w:val="22"/>
          <w:lang w:val="fr-BE"/>
        </w:rPr>
        <w:t>3. L’Administration générale des Douanes et Accises ne dispose pas d’informations qua</w:t>
      </w:r>
      <w:r w:rsidR="00A46A28">
        <w:rPr>
          <w:rFonts w:ascii="Arial" w:hAnsi="Arial" w:cs="Arial"/>
          <w:sz w:val="22"/>
          <w:szCs w:val="22"/>
          <w:lang w:val="fr-BE"/>
        </w:rPr>
        <w:t xml:space="preserve">nt au volume d’achats </w:t>
      </w:r>
      <w:r>
        <w:rPr>
          <w:rFonts w:ascii="Arial" w:hAnsi="Arial" w:cs="Arial"/>
          <w:sz w:val="22"/>
          <w:szCs w:val="22"/>
          <w:lang w:val="fr-BE"/>
        </w:rPr>
        <w:t>frontaliers pour les vins et les boissons spiritueuses.</w:t>
      </w:r>
    </w:p>
    <w:p w14:paraId="35A37A5E" w14:textId="77777777" w:rsidR="003F15FF" w:rsidRDefault="003F15FF" w:rsidP="002346ED">
      <w:pPr>
        <w:tabs>
          <w:tab w:val="left" w:pos="1417"/>
        </w:tabs>
        <w:jc w:val="both"/>
        <w:rPr>
          <w:rFonts w:ascii="Arial" w:hAnsi="Arial" w:cs="Arial"/>
          <w:sz w:val="22"/>
          <w:szCs w:val="22"/>
          <w:lang w:val="fr-BE"/>
        </w:rPr>
      </w:pPr>
    </w:p>
    <w:p w14:paraId="5B9A2A4F" w14:textId="77777777" w:rsidR="00B44AE0" w:rsidRPr="00B44AE0" w:rsidRDefault="003F15FF" w:rsidP="002346ED">
      <w:pPr>
        <w:jc w:val="both"/>
        <w:rPr>
          <w:rFonts w:ascii="Arial" w:hAnsi="Arial" w:cs="Arial"/>
          <w:sz w:val="22"/>
          <w:szCs w:val="22"/>
          <w:lang w:val="fr-BE"/>
        </w:rPr>
      </w:pPr>
      <w:r>
        <w:rPr>
          <w:rFonts w:ascii="Arial" w:hAnsi="Arial" w:cs="Arial"/>
          <w:sz w:val="22"/>
          <w:szCs w:val="22"/>
          <w:lang w:val="fr-BE"/>
        </w:rPr>
        <w:t>4 et 5. La politique en matière d’accise</w:t>
      </w:r>
      <w:r w:rsidR="00A46A28">
        <w:rPr>
          <w:rFonts w:ascii="Arial" w:hAnsi="Arial" w:cs="Arial"/>
          <w:sz w:val="22"/>
          <w:szCs w:val="22"/>
          <w:lang w:val="fr-BE"/>
        </w:rPr>
        <w:t>s</w:t>
      </w:r>
      <w:r>
        <w:rPr>
          <w:rFonts w:ascii="Arial" w:hAnsi="Arial" w:cs="Arial"/>
          <w:sz w:val="22"/>
          <w:szCs w:val="22"/>
          <w:lang w:val="fr-BE"/>
        </w:rPr>
        <w:t xml:space="preserve"> </w:t>
      </w:r>
      <w:r w:rsidR="00AC3306">
        <w:rPr>
          <w:rFonts w:ascii="Arial" w:hAnsi="Arial" w:cs="Arial"/>
          <w:sz w:val="22"/>
          <w:szCs w:val="22"/>
          <w:lang w:val="fr-BE"/>
        </w:rPr>
        <w:t xml:space="preserve">pour l’alcool et les boissons alcoolisées, et par extension pour tous les produits soumis à accise et les produits d’accise, font l’objet d’un </w:t>
      </w:r>
      <w:r w:rsidR="00AC3306" w:rsidRPr="00B44AE0">
        <w:rPr>
          <w:rFonts w:ascii="Arial" w:hAnsi="Arial" w:cs="Arial"/>
          <w:sz w:val="22"/>
          <w:szCs w:val="22"/>
          <w:lang w:val="fr-BE"/>
        </w:rPr>
        <w:t xml:space="preserve">monitoring </w:t>
      </w:r>
      <w:r w:rsidR="00B44AE0">
        <w:rPr>
          <w:rFonts w:ascii="Arial" w:hAnsi="Arial" w:cs="Arial"/>
          <w:sz w:val="22"/>
          <w:szCs w:val="22"/>
          <w:lang w:val="fr-BE"/>
        </w:rPr>
        <w:t>c</w:t>
      </w:r>
      <w:r w:rsidR="00B44AE0" w:rsidRPr="00B44AE0">
        <w:rPr>
          <w:rFonts w:ascii="Arial" w:hAnsi="Arial" w:cs="Arial"/>
          <w:sz w:val="22"/>
          <w:szCs w:val="22"/>
          <w:lang w:val="fr-BE"/>
        </w:rPr>
        <w:t xml:space="preserve">onstant et d’une évaluation </w:t>
      </w:r>
      <w:r w:rsidR="00B44AE0">
        <w:rPr>
          <w:rFonts w:ascii="Arial" w:hAnsi="Arial" w:cs="Arial"/>
          <w:sz w:val="22"/>
          <w:szCs w:val="22"/>
          <w:lang w:val="fr-BE"/>
        </w:rPr>
        <w:t xml:space="preserve">régulière </w:t>
      </w:r>
      <w:r w:rsidR="00B44AE0" w:rsidRPr="00B44AE0">
        <w:rPr>
          <w:rFonts w:ascii="Arial" w:hAnsi="Arial" w:cs="Arial"/>
          <w:sz w:val="22"/>
          <w:szCs w:val="22"/>
          <w:lang w:val="fr-BE"/>
        </w:rPr>
        <w:t>au sein du Gouvernement, et ce, en concertation avec la Ministre de la Santé Publique.</w:t>
      </w:r>
    </w:p>
    <w:p w14:paraId="44560173" w14:textId="77777777" w:rsidR="003F15FF" w:rsidRDefault="003F15FF" w:rsidP="002346ED">
      <w:pPr>
        <w:tabs>
          <w:tab w:val="left" w:pos="1417"/>
        </w:tabs>
        <w:jc w:val="both"/>
        <w:rPr>
          <w:rFonts w:ascii="Arial" w:hAnsi="Arial" w:cs="Arial"/>
          <w:sz w:val="22"/>
          <w:szCs w:val="22"/>
          <w:lang w:val="fr-BE"/>
        </w:rPr>
      </w:pPr>
    </w:p>
    <w:p w14:paraId="32827012" w14:textId="12AF8E4C" w:rsidR="00B44AE0" w:rsidRDefault="00B44AE0" w:rsidP="002346ED">
      <w:pPr>
        <w:tabs>
          <w:tab w:val="left" w:pos="1417"/>
        </w:tabs>
        <w:jc w:val="both"/>
        <w:rPr>
          <w:rFonts w:ascii="Arial" w:hAnsi="Arial" w:cs="Arial"/>
          <w:sz w:val="22"/>
          <w:szCs w:val="22"/>
          <w:lang w:val="fr-BE"/>
        </w:rPr>
      </w:pPr>
      <w:r>
        <w:rPr>
          <w:rFonts w:ascii="Arial" w:hAnsi="Arial" w:cs="Arial"/>
          <w:sz w:val="22"/>
          <w:szCs w:val="22"/>
          <w:lang w:val="fr-BE"/>
        </w:rPr>
        <w:t>Dans le cadre de ce monitoring, il est évidemment tenu compte de différents facteurs, dont les recettes fiscales, les effets sur la vente et les objectifs de santé publique.</w:t>
      </w:r>
    </w:p>
    <w:p w14:paraId="73F2ADD5" w14:textId="41B4CB5D" w:rsidR="005719E5" w:rsidRDefault="005719E5" w:rsidP="002346ED">
      <w:pPr>
        <w:tabs>
          <w:tab w:val="left" w:pos="1417"/>
        </w:tabs>
        <w:jc w:val="both"/>
        <w:rPr>
          <w:rFonts w:ascii="Arial" w:hAnsi="Arial" w:cs="Arial"/>
          <w:sz w:val="22"/>
          <w:szCs w:val="22"/>
          <w:lang w:val="fr-BE"/>
        </w:rPr>
      </w:pPr>
    </w:p>
    <w:p w14:paraId="4FEA79A3" w14:textId="42059036" w:rsidR="005719E5" w:rsidRPr="005719E5" w:rsidRDefault="005719E5" w:rsidP="002346ED">
      <w:pPr>
        <w:tabs>
          <w:tab w:val="left" w:pos="1417"/>
        </w:tabs>
        <w:jc w:val="both"/>
        <w:rPr>
          <w:rFonts w:ascii="Arial" w:hAnsi="Arial" w:cs="Arial"/>
          <w:sz w:val="20"/>
          <w:szCs w:val="22"/>
          <w:lang w:val="fr-BE"/>
        </w:rPr>
      </w:pPr>
      <w:r w:rsidRPr="005719E5">
        <w:rPr>
          <w:rStyle w:val="shorttext"/>
          <w:rFonts w:ascii="Arial" w:hAnsi="Arial" w:cs="Arial"/>
          <w:color w:val="222222"/>
          <w:sz w:val="22"/>
          <w:lang w:val="fr-FR"/>
        </w:rPr>
        <w:t>Actuellement, aucun ajustement n'est prévu.</w:t>
      </w:r>
    </w:p>
    <w:p w14:paraId="51122D77" w14:textId="77777777" w:rsidR="009F242E" w:rsidRPr="00F33F36" w:rsidRDefault="009F242E" w:rsidP="00F33F36">
      <w:pPr>
        <w:tabs>
          <w:tab w:val="left" w:pos="1417"/>
        </w:tabs>
        <w:jc w:val="both"/>
        <w:rPr>
          <w:rFonts w:ascii="Arial" w:hAnsi="Arial" w:cs="Arial"/>
          <w:sz w:val="22"/>
          <w:szCs w:val="22"/>
          <w:lang w:val="fr-BE"/>
        </w:rPr>
      </w:pPr>
    </w:p>
    <w:p w14:paraId="416720A5" w14:textId="77777777" w:rsidR="00C81855" w:rsidRDefault="00C81855" w:rsidP="00C102B7">
      <w:pPr>
        <w:tabs>
          <w:tab w:val="left" w:pos="1417"/>
        </w:tabs>
        <w:jc w:val="both"/>
        <w:rPr>
          <w:rFonts w:ascii="Arial" w:hAnsi="Arial" w:cs="Arial"/>
          <w:b/>
          <w:spacing w:val="-3"/>
          <w:sz w:val="20"/>
          <w:lang w:val="fr-BE"/>
        </w:rPr>
      </w:pPr>
    </w:p>
    <w:p w14:paraId="2C5C41CB" w14:textId="77777777" w:rsidR="00614281" w:rsidRPr="003A247D" w:rsidRDefault="00614281" w:rsidP="00C102B7">
      <w:pPr>
        <w:tabs>
          <w:tab w:val="left" w:pos="1417"/>
        </w:tabs>
        <w:jc w:val="both"/>
        <w:rPr>
          <w:rFonts w:ascii="Arial" w:hAnsi="Arial" w:cs="Arial"/>
          <w:b/>
          <w:spacing w:val="-3"/>
          <w:sz w:val="20"/>
          <w:lang w:val="fr-FR"/>
        </w:rPr>
      </w:pPr>
      <w:r>
        <w:rPr>
          <w:rFonts w:ascii="Arial" w:hAnsi="Arial" w:cs="Arial"/>
          <w:b/>
          <w:sz w:val="20"/>
          <w:lang w:val="fr-BE"/>
        </w:rPr>
        <w:t>Ministre des Finances</w:t>
      </w:r>
      <w:r w:rsidR="003A247D" w:rsidRPr="003A247D">
        <w:rPr>
          <w:rFonts w:ascii="Arial" w:hAnsi="Arial" w:cs="Arial"/>
          <w:b/>
          <w:bCs/>
          <w:sz w:val="20"/>
          <w:lang w:val="fr-FR"/>
        </w:rPr>
        <w:t>, chargé de la Lutte contre la fraude fiscale</w:t>
      </w:r>
    </w:p>
    <w:p w14:paraId="6A54D924" w14:textId="77777777" w:rsidR="00614281" w:rsidRDefault="00614281" w:rsidP="00C102B7">
      <w:pPr>
        <w:tabs>
          <w:tab w:val="left" w:pos="1417"/>
        </w:tabs>
        <w:jc w:val="both"/>
        <w:rPr>
          <w:rFonts w:ascii="Arial" w:hAnsi="Arial" w:cs="Arial"/>
          <w:b/>
          <w:spacing w:val="-3"/>
          <w:sz w:val="20"/>
          <w:lang w:val="fr-BE"/>
        </w:rPr>
      </w:pPr>
    </w:p>
    <w:p w14:paraId="541B3675" w14:textId="77777777" w:rsidR="00614281" w:rsidRDefault="00614281" w:rsidP="00C102B7">
      <w:pPr>
        <w:tabs>
          <w:tab w:val="left" w:pos="1417"/>
        </w:tabs>
        <w:jc w:val="both"/>
        <w:rPr>
          <w:rFonts w:ascii="Arial" w:hAnsi="Arial" w:cs="Arial"/>
          <w:b/>
          <w:spacing w:val="-3"/>
          <w:sz w:val="20"/>
          <w:lang w:val="fr-BE"/>
        </w:rPr>
      </w:pPr>
    </w:p>
    <w:p w14:paraId="3305146D" w14:textId="77777777" w:rsidR="00614281" w:rsidRDefault="00614281" w:rsidP="00C102B7">
      <w:pPr>
        <w:tabs>
          <w:tab w:val="left" w:pos="1417"/>
        </w:tabs>
        <w:jc w:val="both"/>
        <w:rPr>
          <w:rFonts w:ascii="Arial" w:hAnsi="Arial" w:cs="Arial"/>
          <w:b/>
          <w:spacing w:val="-3"/>
          <w:sz w:val="20"/>
          <w:lang w:val="fr-BE"/>
        </w:rPr>
      </w:pPr>
    </w:p>
    <w:p w14:paraId="64ED5EFB" w14:textId="77777777" w:rsidR="00614281" w:rsidRDefault="00614281" w:rsidP="00C102B7">
      <w:pPr>
        <w:tabs>
          <w:tab w:val="left" w:pos="1417"/>
        </w:tabs>
        <w:jc w:val="both"/>
        <w:rPr>
          <w:rFonts w:ascii="Arial" w:hAnsi="Arial" w:cs="Arial"/>
          <w:b/>
          <w:spacing w:val="-3"/>
          <w:sz w:val="20"/>
          <w:lang w:val="fr-BE"/>
        </w:rPr>
      </w:pPr>
    </w:p>
    <w:p w14:paraId="0161A4AB" w14:textId="77777777" w:rsidR="00614281" w:rsidRDefault="00614281" w:rsidP="00C102B7">
      <w:pPr>
        <w:tabs>
          <w:tab w:val="left" w:pos="1417"/>
        </w:tabs>
        <w:jc w:val="both"/>
        <w:rPr>
          <w:rFonts w:ascii="Arial" w:hAnsi="Arial" w:cs="Arial"/>
          <w:b/>
          <w:spacing w:val="-3"/>
          <w:sz w:val="20"/>
          <w:lang w:val="fr-BE"/>
        </w:rPr>
      </w:pPr>
    </w:p>
    <w:p w14:paraId="19F6F3AA" w14:textId="77777777" w:rsidR="00614281" w:rsidRDefault="00614281" w:rsidP="00C102B7">
      <w:pPr>
        <w:tabs>
          <w:tab w:val="left" w:pos="1417"/>
        </w:tabs>
        <w:jc w:val="both"/>
        <w:rPr>
          <w:rFonts w:ascii="Arial" w:hAnsi="Arial" w:cs="Arial"/>
          <w:b/>
          <w:spacing w:val="-3"/>
          <w:sz w:val="20"/>
          <w:lang w:val="fr-BE"/>
        </w:rPr>
      </w:pPr>
    </w:p>
    <w:p w14:paraId="31EE756F" w14:textId="77777777" w:rsidR="00614281" w:rsidRDefault="00614281" w:rsidP="00C102B7">
      <w:pPr>
        <w:tabs>
          <w:tab w:val="left" w:pos="1417"/>
        </w:tabs>
        <w:jc w:val="both"/>
        <w:rPr>
          <w:rFonts w:ascii="Arial" w:hAnsi="Arial" w:cs="Arial"/>
          <w:b/>
          <w:spacing w:val="-3"/>
          <w:sz w:val="20"/>
          <w:lang w:val="fr-BE"/>
        </w:rPr>
      </w:pPr>
    </w:p>
    <w:p w14:paraId="241BFCE7" w14:textId="77777777" w:rsidR="00614281" w:rsidRPr="00F33F36" w:rsidRDefault="00725752" w:rsidP="00C102B7">
      <w:pPr>
        <w:jc w:val="both"/>
        <w:rPr>
          <w:lang w:val="fr-BE"/>
        </w:rPr>
      </w:pPr>
      <w:r w:rsidRPr="00F33F36">
        <w:rPr>
          <w:rFonts w:ascii="Arial" w:hAnsi="Arial" w:cs="Arial"/>
          <w:b/>
          <w:spacing w:val="-3"/>
          <w:sz w:val="22"/>
          <w:szCs w:val="22"/>
          <w:lang w:val="fr-BE"/>
        </w:rPr>
        <w:t>Johan VAN OVERTVELDT</w:t>
      </w:r>
    </w:p>
    <w:p w14:paraId="60C1F661" w14:textId="77777777" w:rsidR="00614281" w:rsidRPr="00F33F36" w:rsidRDefault="00614281" w:rsidP="00C102B7">
      <w:pPr>
        <w:jc w:val="both"/>
        <w:rPr>
          <w:lang w:val="fr-BE"/>
        </w:rPr>
      </w:pPr>
    </w:p>
    <w:p w14:paraId="0C15E23D" w14:textId="77777777" w:rsidR="00614281" w:rsidRPr="00F33F36" w:rsidRDefault="00614281" w:rsidP="00C102B7">
      <w:pPr>
        <w:jc w:val="both"/>
        <w:rPr>
          <w:lang w:val="fr-BE"/>
        </w:rPr>
      </w:pPr>
    </w:p>
    <w:sectPr w:rsidR="00614281" w:rsidRPr="00F33F36" w:rsidSect="00C17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70A"/>
    <w:multiLevelType w:val="hybridMultilevel"/>
    <w:tmpl w:val="923EDA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6AA3755"/>
    <w:multiLevelType w:val="hybridMultilevel"/>
    <w:tmpl w:val="1AA0F6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8C20EC8"/>
    <w:multiLevelType w:val="hybridMultilevel"/>
    <w:tmpl w:val="A64AE29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9BD667C"/>
    <w:multiLevelType w:val="hybridMultilevel"/>
    <w:tmpl w:val="4EEC02BC"/>
    <w:lvl w:ilvl="0" w:tplc="30A23706">
      <w:start w:val="76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A5"/>
    <w:rsid w:val="000054A2"/>
    <w:rsid w:val="00030E2F"/>
    <w:rsid w:val="0006733E"/>
    <w:rsid w:val="000924F1"/>
    <w:rsid w:val="000B31A3"/>
    <w:rsid w:val="000C12A5"/>
    <w:rsid w:val="000D609F"/>
    <w:rsid w:val="00132094"/>
    <w:rsid w:val="00167EB8"/>
    <w:rsid w:val="001827F9"/>
    <w:rsid w:val="001A57B5"/>
    <w:rsid w:val="001D2A11"/>
    <w:rsid w:val="001E3E37"/>
    <w:rsid w:val="001F5644"/>
    <w:rsid w:val="00201FC4"/>
    <w:rsid w:val="00214FBC"/>
    <w:rsid w:val="00221C0F"/>
    <w:rsid w:val="002231EB"/>
    <w:rsid w:val="0022537C"/>
    <w:rsid w:val="002346ED"/>
    <w:rsid w:val="00242BB3"/>
    <w:rsid w:val="00255850"/>
    <w:rsid w:val="002B3A2E"/>
    <w:rsid w:val="002B60CA"/>
    <w:rsid w:val="002D71A8"/>
    <w:rsid w:val="00321A11"/>
    <w:rsid w:val="003762EF"/>
    <w:rsid w:val="003A247D"/>
    <w:rsid w:val="003C56D3"/>
    <w:rsid w:val="003F15FF"/>
    <w:rsid w:val="00432AF2"/>
    <w:rsid w:val="00472C21"/>
    <w:rsid w:val="00481234"/>
    <w:rsid w:val="004827D8"/>
    <w:rsid w:val="004B63DE"/>
    <w:rsid w:val="004D476A"/>
    <w:rsid w:val="004D54CC"/>
    <w:rsid w:val="004D5B15"/>
    <w:rsid w:val="0050233C"/>
    <w:rsid w:val="0050315A"/>
    <w:rsid w:val="005429DD"/>
    <w:rsid w:val="005604C3"/>
    <w:rsid w:val="005719E5"/>
    <w:rsid w:val="005738BF"/>
    <w:rsid w:val="005C43B8"/>
    <w:rsid w:val="005D7E32"/>
    <w:rsid w:val="0060144B"/>
    <w:rsid w:val="006029F7"/>
    <w:rsid w:val="00602B89"/>
    <w:rsid w:val="00605F6D"/>
    <w:rsid w:val="00614281"/>
    <w:rsid w:val="00684E02"/>
    <w:rsid w:val="006947AE"/>
    <w:rsid w:val="006970BC"/>
    <w:rsid w:val="006C2FBB"/>
    <w:rsid w:val="006D3E31"/>
    <w:rsid w:val="006F7A13"/>
    <w:rsid w:val="007035B6"/>
    <w:rsid w:val="00704A6B"/>
    <w:rsid w:val="00706D6A"/>
    <w:rsid w:val="00725752"/>
    <w:rsid w:val="00727BBD"/>
    <w:rsid w:val="00745BD1"/>
    <w:rsid w:val="00784977"/>
    <w:rsid w:val="007925E5"/>
    <w:rsid w:val="007B10A5"/>
    <w:rsid w:val="007E038B"/>
    <w:rsid w:val="00803AC3"/>
    <w:rsid w:val="00804969"/>
    <w:rsid w:val="0082213A"/>
    <w:rsid w:val="00831157"/>
    <w:rsid w:val="00835070"/>
    <w:rsid w:val="00835CFC"/>
    <w:rsid w:val="008775B4"/>
    <w:rsid w:val="008B2E93"/>
    <w:rsid w:val="008D10E9"/>
    <w:rsid w:val="008F4899"/>
    <w:rsid w:val="00946402"/>
    <w:rsid w:val="009929FF"/>
    <w:rsid w:val="009F242E"/>
    <w:rsid w:val="00A1422C"/>
    <w:rsid w:val="00A46A28"/>
    <w:rsid w:val="00A700F9"/>
    <w:rsid w:val="00A713B4"/>
    <w:rsid w:val="00AA7F9C"/>
    <w:rsid w:val="00AC3306"/>
    <w:rsid w:val="00AD2EFB"/>
    <w:rsid w:val="00AF1BC9"/>
    <w:rsid w:val="00B13D4F"/>
    <w:rsid w:val="00B44799"/>
    <w:rsid w:val="00B44AE0"/>
    <w:rsid w:val="00B46918"/>
    <w:rsid w:val="00B62F07"/>
    <w:rsid w:val="00B90E64"/>
    <w:rsid w:val="00B9396E"/>
    <w:rsid w:val="00BD6D76"/>
    <w:rsid w:val="00C102B7"/>
    <w:rsid w:val="00C17AD5"/>
    <w:rsid w:val="00C223D0"/>
    <w:rsid w:val="00C81855"/>
    <w:rsid w:val="00C937A5"/>
    <w:rsid w:val="00C941A8"/>
    <w:rsid w:val="00CE7800"/>
    <w:rsid w:val="00D65F6A"/>
    <w:rsid w:val="00D77987"/>
    <w:rsid w:val="00DA49F4"/>
    <w:rsid w:val="00DA532C"/>
    <w:rsid w:val="00DD209B"/>
    <w:rsid w:val="00DF1379"/>
    <w:rsid w:val="00DF502A"/>
    <w:rsid w:val="00E23CED"/>
    <w:rsid w:val="00E31DB4"/>
    <w:rsid w:val="00E40096"/>
    <w:rsid w:val="00E439E1"/>
    <w:rsid w:val="00E74FEA"/>
    <w:rsid w:val="00E96B10"/>
    <w:rsid w:val="00EA6246"/>
    <w:rsid w:val="00EE63F8"/>
    <w:rsid w:val="00F02A84"/>
    <w:rsid w:val="00F2159C"/>
    <w:rsid w:val="00F33F36"/>
    <w:rsid w:val="00F34E1E"/>
    <w:rsid w:val="00F67DF9"/>
    <w:rsid w:val="00F87FF1"/>
    <w:rsid w:val="00FE35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0B2A"/>
  <w15:docId w15:val="{EDC7CD58-B162-1149-90E2-06EA8D9B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B10A5"/>
    <w:pPr>
      <w:widowControl w:val="0"/>
      <w:spacing w:after="0" w:line="240" w:lineRule="auto"/>
    </w:pPr>
    <w:rPr>
      <w:rFonts w:ascii="Courier" w:eastAsia="Times New Roman" w:hAnsi="Courier" w:cs="Times New Roman"/>
      <w:snapToGrid w:val="0"/>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old">
    <w:name w:val="Bold"/>
    <w:basedOn w:val="Standaardalinea-lettertype"/>
    <w:uiPriority w:val="99"/>
    <w:rsid w:val="00EE63F8"/>
    <w:rPr>
      <w:b/>
      <w:bCs/>
    </w:rPr>
  </w:style>
  <w:style w:type="character" w:customStyle="1" w:styleId="Italic">
    <w:name w:val="Italic"/>
    <w:basedOn w:val="Standaardalinea-lettertype"/>
    <w:uiPriority w:val="99"/>
    <w:rsid w:val="00EE63F8"/>
    <w:rPr>
      <w:i/>
      <w:iCs/>
    </w:rPr>
  </w:style>
  <w:style w:type="paragraph" w:styleId="Lijstalinea">
    <w:name w:val="List Paragraph"/>
    <w:basedOn w:val="Standaard"/>
    <w:uiPriority w:val="34"/>
    <w:qFormat/>
    <w:rsid w:val="00EE63F8"/>
    <w:pPr>
      <w:ind w:left="720"/>
      <w:contextualSpacing/>
    </w:pPr>
  </w:style>
  <w:style w:type="paragraph" w:styleId="Ballontekst">
    <w:name w:val="Balloon Text"/>
    <w:basedOn w:val="Standaard"/>
    <w:link w:val="BallontekstChar"/>
    <w:uiPriority w:val="99"/>
    <w:semiHidden/>
    <w:unhideWhenUsed/>
    <w:rsid w:val="00A1422C"/>
    <w:rPr>
      <w:rFonts w:ascii="Tahoma" w:hAnsi="Tahoma" w:cs="Tahoma"/>
      <w:sz w:val="16"/>
      <w:szCs w:val="16"/>
    </w:rPr>
  </w:style>
  <w:style w:type="character" w:customStyle="1" w:styleId="BallontekstChar">
    <w:name w:val="Ballontekst Char"/>
    <w:basedOn w:val="Standaardalinea-lettertype"/>
    <w:link w:val="Ballontekst"/>
    <w:uiPriority w:val="99"/>
    <w:semiHidden/>
    <w:rsid w:val="00A1422C"/>
    <w:rPr>
      <w:rFonts w:ascii="Tahoma" w:eastAsia="Times New Roman" w:hAnsi="Tahoma" w:cs="Tahoma"/>
      <w:snapToGrid w:val="0"/>
      <w:sz w:val="16"/>
      <w:szCs w:val="16"/>
      <w:lang w:val="nl-NL" w:eastAsia="nl-NL"/>
    </w:rPr>
  </w:style>
  <w:style w:type="table" w:styleId="Tabelraster">
    <w:name w:val="Table Grid"/>
    <w:basedOn w:val="Standaardtabel"/>
    <w:uiPriority w:val="59"/>
    <w:rsid w:val="00E31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Standaardalinea-lettertype"/>
    <w:rsid w:val="005719E5"/>
  </w:style>
  <w:style w:type="paragraph" w:styleId="Revisie">
    <w:name w:val="Revision"/>
    <w:hidden/>
    <w:uiPriority w:val="99"/>
    <w:semiHidden/>
    <w:rsid w:val="005719E5"/>
    <w:pPr>
      <w:spacing w:after="0" w:line="240" w:lineRule="auto"/>
    </w:pPr>
    <w:rPr>
      <w:rFonts w:ascii="Courier" w:eastAsia="Times New Roman" w:hAnsi="Courier" w:cs="Times New Roman"/>
      <w:snapToGrid w:val="0"/>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4037">
      <w:bodyDiv w:val="1"/>
      <w:marLeft w:val="0"/>
      <w:marRight w:val="0"/>
      <w:marTop w:val="0"/>
      <w:marBottom w:val="0"/>
      <w:divBdr>
        <w:top w:val="none" w:sz="0" w:space="0" w:color="auto"/>
        <w:left w:val="none" w:sz="0" w:space="0" w:color="auto"/>
        <w:bottom w:val="none" w:sz="0" w:space="0" w:color="auto"/>
        <w:right w:val="none" w:sz="0" w:space="0" w:color="auto"/>
      </w:divBdr>
    </w:div>
    <w:div w:id="83303259">
      <w:bodyDiv w:val="1"/>
      <w:marLeft w:val="0"/>
      <w:marRight w:val="0"/>
      <w:marTop w:val="0"/>
      <w:marBottom w:val="0"/>
      <w:divBdr>
        <w:top w:val="none" w:sz="0" w:space="0" w:color="auto"/>
        <w:left w:val="none" w:sz="0" w:space="0" w:color="auto"/>
        <w:bottom w:val="none" w:sz="0" w:space="0" w:color="auto"/>
        <w:right w:val="none" w:sz="0" w:space="0" w:color="auto"/>
      </w:divBdr>
    </w:div>
    <w:div w:id="220528805">
      <w:bodyDiv w:val="1"/>
      <w:marLeft w:val="0"/>
      <w:marRight w:val="0"/>
      <w:marTop w:val="0"/>
      <w:marBottom w:val="0"/>
      <w:divBdr>
        <w:top w:val="none" w:sz="0" w:space="0" w:color="auto"/>
        <w:left w:val="none" w:sz="0" w:space="0" w:color="auto"/>
        <w:bottom w:val="none" w:sz="0" w:space="0" w:color="auto"/>
        <w:right w:val="none" w:sz="0" w:space="0" w:color="auto"/>
      </w:divBdr>
    </w:div>
    <w:div w:id="307364164">
      <w:bodyDiv w:val="1"/>
      <w:marLeft w:val="0"/>
      <w:marRight w:val="0"/>
      <w:marTop w:val="0"/>
      <w:marBottom w:val="0"/>
      <w:divBdr>
        <w:top w:val="none" w:sz="0" w:space="0" w:color="auto"/>
        <w:left w:val="none" w:sz="0" w:space="0" w:color="auto"/>
        <w:bottom w:val="none" w:sz="0" w:space="0" w:color="auto"/>
        <w:right w:val="none" w:sz="0" w:space="0" w:color="auto"/>
      </w:divBdr>
    </w:div>
    <w:div w:id="364067545">
      <w:bodyDiv w:val="1"/>
      <w:marLeft w:val="0"/>
      <w:marRight w:val="0"/>
      <w:marTop w:val="0"/>
      <w:marBottom w:val="0"/>
      <w:divBdr>
        <w:top w:val="none" w:sz="0" w:space="0" w:color="auto"/>
        <w:left w:val="none" w:sz="0" w:space="0" w:color="auto"/>
        <w:bottom w:val="none" w:sz="0" w:space="0" w:color="auto"/>
        <w:right w:val="none" w:sz="0" w:space="0" w:color="auto"/>
      </w:divBdr>
    </w:div>
    <w:div w:id="626395774">
      <w:bodyDiv w:val="1"/>
      <w:marLeft w:val="0"/>
      <w:marRight w:val="0"/>
      <w:marTop w:val="0"/>
      <w:marBottom w:val="0"/>
      <w:divBdr>
        <w:top w:val="none" w:sz="0" w:space="0" w:color="auto"/>
        <w:left w:val="none" w:sz="0" w:space="0" w:color="auto"/>
        <w:bottom w:val="none" w:sz="0" w:space="0" w:color="auto"/>
        <w:right w:val="none" w:sz="0" w:space="0" w:color="auto"/>
      </w:divBdr>
    </w:div>
    <w:div w:id="666250501">
      <w:bodyDiv w:val="1"/>
      <w:marLeft w:val="0"/>
      <w:marRight w:val="0"/>
      <w:marTop w:val="0"/>
      <w:marBottom w:val="0"/>
      <w:divBdr>
        <w:top w:val="none" w:sz="0" w:space="0" w:color="auto"/>
        <w:left w:val="none" w:sz="0" w:space="0" w:color="auto"/>
        <w:bottom w:val="none" w:sz="0" w:space="0" w:color="auto"/>
        <w:right w:val="none" w:sz="0" w:space="0" w:color="auto"/>
      </w:divBdr>
    </w:div>
    <w:div w:id="699547873">
      <w:bodyDiv w:val="1"/>
      <w:marLeft w:val="0"/>
      <w:marRight w:val="0"/>
      <w:marTop w:val="0"/>
      <w:marBottom w:val="0"/>
      <w:divBdr>
        <w:top w:val="none" w:sz="0" w:space="0" w:color="auto"/>
        <w:left w:val="none" w:sz="0" w:space="0" w:color="auto"/>
        <w:bottom w:val="none" w:sz="0" w:space="0" w:color="auto"/>
        <w:right w:val="none" w:sz="0" w:space="0" w:color="auto"/>
      </w:divBdr>
    </w:div>
    <w:div w:id="1211771980">
      <w:bodyDiv w:val="1"/>
      <w:marLeft w:val="0"/>
      <w:marRight w:val="0"/>
      <w:marTop w:val="0"/>
      <w:marBottom w:val="0"/>
      <w:divBdr>
        <w:top w:val="none" w:sz="0" w:space="0" w:color="auto"/>
        <w:left w:val="none" w:sz="0" w:space="0" w:color="auto"/>
        <w:bottom w:val="none" w:sz="0" w:space="0" w:color="auto"/>
        <w:right w:val="none" w:sz="0" w:space="0" w:color="auto"/>
      </w:divBdr>
    </w:div>
    <w:div w:id="1247611132">
      <w:bodyDiv w:val="1"/>
      <w:marLeft w:val="0"/>
      <w:marRight w:val="0"/>
      <w:marTop w:val="0"/>
      <w:marBottom w:val="0"/>
      <w:divBdr>
        <w:top w:val="none" w:sz="0" w:space="0" w:color="auto"/>
        <w:left w:val="none" w:sz="0" w:space="0" w:color="auto"/>
        <w:bottom w:val="none" w:sz="0" w:space="0" w:color="auto"/>
        <w:right w:val="none" w:sz="0" w:space="0" w:color="auto"/>
      </w:divBdr>
    </w:div>
    <w:div w:id="1272468894">
      <w:bodyDiv w:val="1"/>
      <w:marLeft w:val="0"/>
      <w:marRight w:val="0"/>
      <w:marTop w:val="0"/>
      <w:marBottom w:val="0"/>
      <w:divBdr>
        <w:top w:val="none" w:sz="0" w:space="0" w:color="auto"/>
        <w:left w:val="none" w:sz="0" w:space="0" w:color="auto"/>
        <w:bottom w:val="none" w:sz="0" w:space="0" w:color="auto"/>
        <w:right w:val="none" w:sz="0" w:space="0" w:color="auto"/>
      </w:divBdr>
    </w:div>
    <w:div w:id="1458599591">
      <w:bodyDiv w:val="1"/>
      <w:marLeft w:val="0"/>
      <w:marRight w:val="0"/>
      <w:marTop w:val="0"/>
      <w:marBottom w:val="0"/>
      <w:divBdr>
        <w:top w:val="none" w:sz="0" w:space="0" w:color="auto"/>
        <w:left w:val="none" w:sz="0" w:space="0" w:color="auto"/>
        <w:bottom w:val="none" w:sz="0" w:space="0" w:color="auto"/>
        <w:right w:val="none" w:sz="0" w:space="0" w:color="auto"/>
      </w:divBdr>
    </w:div>
    <w:div w:id="1459950012">
      <w:bodyDiv w:val="1"/>
      <w:marLeft w:val="0"/>
      <w:marRight w:val="0"/>
      <w:marTop w:val="0"/>
      <w:marBottom w:val="0"/>
      <w:divBdr>
        <w:top w:val="none" w:sz="0" w:space="0" w:color="auto"/>
        <w:left w:val="none" w:sz="0" w:space="0" w:color="auto"/>
        <w:bottom w:val="none" w:sz="0" w:space="0" w:color="auto"/>
        <w:right w:val="none" w:sz="0" w:space="0" w:color="auto"/>
      </w:divBdr>
    </w:div>
    <w:div w:id="1639266139">
      <w:bodyDiv w:val="1"/>
      <w:marLeft w:val="0"/>
      <w:marRight w:val="0"/>
      <w:marTop w:val="0"/>
      <w:marBottom w:val="0"/>
      <w:divBdr>
        <w:top w:val="none" w:sz="0" w:space="0" w:color="auto"/>
        <w:left w:val="none" w:sz="0" w:space="0" w:color="auto"/>
        <w:bottom w:val="none" w:sz="0" w:space="0" w:color="auto"/>
        <w:right w:val="none" w:sz="0" w:space="0" w:color="auto"/>
      </w:divBdr>
    </w:div>
    <w:div w:id="1692106015">
      <w:bodyDiv w:val="1"/>
      <w:marLeft w:val="0"/>
      <w:marRight w:val="0"/>
      <w:marTop w:val="0"/>
      <w:marBottom w:val="0"/>
      <w:divBdr>
        <w:top w:val="none" w:sz="0" w:space="0" w:color="auto"/>
        <w:left w:val="none" w:sz="0" w:space="0" w:color="auto"/>
        <w:bottom w:val="none" w:sz="0" w:space="0" w:color="auto"/>
        <w:right w:val="none" w:sz="0" w:space="0" w:color="auto"/>
      </w:divBdr>
    </w:div>
    <w:div w:id="1695424130">
      <w:bodyDiv w:val="1"/>
      <w:marLeft w:val="0"/>
      <w:marRight w:val="0"/>
      <w:marTop w:val="0"/>
      <w:marBottom w:val="0"/>
      <w:divBdr>
        <w:top w:val="none" w:sz="0" w:space="0" w:color="auto"/>
        <w:left w:val="none" w:sz="0" w:space="0" w:color="auto"/>
        <w:bottom w:val="none" w:sz="0" w:space="0" w:color="auto"/>
        <w:right w:val="none" w:sz="0" w:space="0" w:color="auto"/>
      </w:divBdr>
    </w:div>
    <w:div w:id="1698308375">
      <w:bodyDiv w:val="1"/>
      <w:marLeft w:val="0"/>
      <w:marRight w:val="0"/>
      <w:marTop w:val="0"/>
      <w:marBottom w:val="0"/>
      <w:divBdr>
        <w:top w:val="none" w:sz="0" w:space="0" w:color="auto"/>
        <w:left w:val="none" w:sz="0" w:space="0" w:color="auto"/>
        <w:bottom w:val="none" w:sz="0" w:space="0" w:color="auto"/>
        <w:right w:val="none" w:sz="0" w:space="0" w:color="auto"/>
      </w:divBdr>
    </w:div>
    <w:div w:id="1827166335">
      <w:bodyDiv w:val="1"/>
      <w:marLeft w:val="0"/>
      <w:marRight w:val="0"/>
      <w:marTop w:val="0"/>
      <w:marBottom w:val="0"/>
      <w:divBdr>
        <w:top w:val="none" w:sz="0" w:space="0" w:color="auto"/>
        <w:left w:val="none" w:sz="0" w:space="0" w:color="auto"/>
        <w:bottom w:val="none" w:sz="0" w:space="0" w:color="auto"/>
        <w:right w:val="none" w:sz="0" w:space="0" w:color="auto"/>
      </w:divBdr>
    </w:div>
    <w:div w:id="191320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EC3836B88E3842903D58ADEC7B884E" ma:contentTypeVersion="" ma:contentTypeDescription="Een nieuw document maken." ma:contentTypeScope="" ma:versionID="1900feed7e8d088f73738cd05975eb39">
  <xsd:schema xmlns:xsd="http://www.w3.org/2001/XMLSchema" xmlns:xs="http://www.w3.org/2001/XMLSchema" xmlns:p="http://schemas.microsoft.com/office/2006/metadata/properties" xmlns:ns2="3ba3b898-365a-4a1e-9e16-5c6f7f7751c6" xmlns:ns3="2b170aea-7b45-4f94-b59e-e3e1a1297ad1" targetNamespace="http://schemas.microsoft.com/office/2006/metadata/properties" ma:root="true" ma:fieldsID="e641c7c80bb007ff817afb213e9480f8" ns2:_="" ns3:_="">
    <xsd:import namespace="3ba3b898-365a-4a1e-9e16-5c6f7f7751c6"/>
    <xsd:import namespace="2b170aea-7b45-4f94-b59e-e3e1a1297a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3b898-365a-4a1e-9e16-5c6f7f7751c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70aea-7b45-4f94-b59e-e3e1a1297ad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9B517-29D9-46FE-8F81-CC232B1DB5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B22CFF-AF6C-4357-9771-0F8CD88A8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3b898-365a-4a1e-9e16-5c6f7f7751c6"/>
    <ds:schemaRef ds:uri="2b170aea-7b45-4f94-b59e-e3e1a1297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A11C6-9AB5-496F-A792-F1050BAC6BCC}">
  <ds:schemaRefs>
    <ds:schemaRef ds:uri="http://schemas.microsoft.com/sharepoint/v3/contenttype/forms"/>
  </ds:schemaRefs>
</ds:datastoreItem>
</file>

<file path=customXml/itemProps4.xml><?xml version="1.0" encoding="utf-8"?>
<ds:datastoreItem xmlns:ds="http://schemas.openxmlformats.org/officeDocument/2006/customXml" ds:itemID="{68E66F57-D046-124F-A21A-1A40F90D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4986</Characters>
  <Application>Microsoft Office Word</Application>
  <DocSecurity>0</DocSecurity>
  <Lines>41</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Federale Overheidsdienst Financiën</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Van Steenbrugge</dc:creator>
  <cp:lastModifiedBy>Microsoft Office-gebruiker</cp:lastModifiedBy>
  <cp:revision>2</cp:revision>
  <cp:lastPrinted>2018-03-06T10:58:00Z</cp:lastPrinted>
  <dcterms:created xsi:type="dcterms:W3CDTF">2018-03-22T23:42:00Z</dcterms:created>
  <dcterms:modified xsi:type="dcterms:W3CDTF">2018-03-22T23:42:00Z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0x010100CBEC3836B88E3842903D58ADEC7B884E</vt:lpwstr>
  </property>
</Properties>
</file>