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AA27" w14:textId="0A06EE09" w:rsidR="00092E0E" w:rsidRDefault="000534FC" w:rsidP="00092E0E">
      <w:pPr>
        <w:pBdr>
          <w:bottom w:val="single" w:sz="4" w:space="1" w:color="auto"/>
        </w:pBdr>
        <w:jc w:val="center"/>
        <w:rPr>
          <w:rFonts w:ascii="Arial" w:hAnsi="Arial" w:cs="Arial"/>
          <w:b/>
        </w:rPr>
      </w:pPr>
      <w:r>
        <w:rPr>
          <w:rFonts w:ascii="Arial" w:hAnsi="Arial"/>
          <w:b/>
          <w:noProof/>
          <w:lang w:val="en-GB" w:eastAsia="en-GB"/>
        </w:rPr>
        <w:drawing>
          <wp:anchor distT="0" distB="0" distL="114300" distR="114300" simplePos="0" relativeHeight="251657216" behindDoc="0" locked="0" layoutInCell="1" allowOverlap="1" wp14:anchorId="31F3951F" wp14:editId="4B56CF61">
            <wp:simplePos x="0" y="0"/>
            <wp:positionH relativeFrom="column">
              <wp:posOffset>1327785</wp:posOffset>
            </wp:positionH>
            <wp:positionV relativeFrom="paragraph">
              <wp:posOffset>169545</wp:posOffset>
            </wp:positionV>
            <wp:extent cx="3571875" cy="970915"/>
            <wp:effectExtent l="0" t="0" r="9525" b="635"/>
            <wp:wrapSquare wrapText="bothSides"/>
            <wp:docPr id="3" name="Afbeelding 3" descr="C:\Users\User\AppData\Local\Microsoft\Windows\INetCache\Content.Outlook\WAVXE3HE\Logo_VS_groen-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Outlook\WAVXE3HE\Logo_VS_groen-01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875" cy="970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8FCBD" w14:textId="6792E924" w:rsidR="00042F57" w:rsidRDefault="00042F57" w:rsidP="00042F57">
      <w:pPr>
        <w:pBdr>
          <w:bottom w:val="single" w:sz="4" w:space="1" w:color="auto"/>
        </w:pBdr>
        <w:rPr>
          <w:rFonts w:ascii="Arial" w:hAnsi="Arial" w:cs="Arial"/>
          <w:b/>
        </w:rPr>
      </w:pPr>
      <w:r>
        <w:br w:type="textWrapping" w:clear="all"/>
      </w:r>
    </w:p>
    <w:p w14:paraId="1B348F84" w14:textId="77777777" w:rsidR="00042F57" w:rsidRDefault="00042F57" w:rsidP="00092E0E">
      <w:pPr>
        <w:pBdr>
          <w:bottom w:val="single" w:sz="4" w:space="1" w:color="auto"/>
        </w:pBdr>
        <w:jc w:val="center"/>
        <w:rPr>
          <w:rFonts w:ascii="Arial" w:hAnsi="Arial" w:cs="Arial"/>
          <w:b/>
          <w:lang w:val="nl-NL"/>
        </w:rPr>
      </w:pPr>
      <w:bookmarkStart w:id="0" w:name="_GoBack"/>
      <w:bookmarkEnd w:id="0"/>
    </w:p>
    <w:p w14:paraId="6260ADAC" w14:textId="77777777" w:rsidR="00042F57" w:rsidRDefault="00042F57" w:rsidP="00092E0E">
      <w:pPr>
        <w:pBdr>
          <w:bottom w:val="single" w:sz="4" w:space="1" w:color="auto"/>
        </w:pBdr>
        <w:jc w:val="center"/>
        <w:rPr>
          <w:rFonts w:ascii="Arial" w:hAnsi="Arial" w:cs="Arial"/>
          <w:b/>
          <w:lang w:val="nl-NL"/>
        </w:rPr>
      </w:pPr>
    </w:p>
    <w:p w14:paraId="29CE7117" w14:textId="77777777" w:rsidR="00092E0E" w:rsidRPr="00E457B8" w:rsidRDefault="00092E0E" w:rsidP="00092E0E">
      <w:pPr>
        <w:pBdr>
          <w:bottom w:val="single" w:sz="4" w:space="1" w:color="auto"/>
        </w:pBdr>
        <w:jc w:val="center"/>
        <w:rPr>
          <w:rFonts w:ascii="Arial" w:hAnsi="Arial" w:cs="Arial"/>
          <w:b/>
        </w:rPr>
      </w:pPr>
      <w:r>
        <w:rPr>
          <w:rFonts w:ascii="Arial" w:hAnsi="Arial"/>
          <w:b/>
        </w:rPr>
        <w:t>Avis du Conseil Supérieur de la Santé concernant une directive en matière de « low risk drinking »</w:t>
      </w:r>
    </w:p>
    <w:p w14:paraId="6FD535D3" w14:textId="064E9291" w:rsidR="00092E0E" w:rsidRPr="0024657C" w:rsidRDefault="00092E0E" w:rsidP="00092E0E">
      <w:pPr>
        <w:pBdr>
          <w:bottom w:val="single" w:sz="4" w:space="1" w:color="auto"/>
        </w:pBdr>
        <w:jc w:val="center"/>
        <w:rPr>
          <w:rFonts w:ascii="Arial" w:hAnsi="Arial" w:cs="Arial"/>
        </w:rPr>
      </w:pPr>
      <w:r>
        <w:rPr>
          <w:rFonts w:ascii="Arial" w:hAnsi="Arial"/>
        </w:rPr>
        <w:t>Feed-back de Vinum Et Spiritus</w:t>
      </w:r>
    </w:p>
    <w:p w14:paraId="617EE1E0" w14:textId="77777777" w:rsidR="00092E0E" w:rsidRPr="0038338A" w:rsidRDefault="00092E0E" w:rsidP="00092E0E">
      <w:pPr>
        <w:rPr>
          <w:b/>
        </w:rPr>
      </w:pPr>
    </w:p>
    <w:p w14:paraId="235BD429" w14:textId="77777777" w:rsidR="00042F57" w:rsidRPr="0038338A" w:rsidRDefault="00042F57" w:rsidP="003778F6">
      <w:pPr>
        <w:jc w:val="both"/>
      </w:pPr>
    </w:p>
    <w:p w14:paraId="5BAC42E3" w14:textId="3C1EF919" w:rsidR="00092E0E" w:rsidRDefault="00092E0E" w:rsidP="003778F6">
      <w:pPr>
        <w:jc w:val="both"/>
      </w:pPr>
      <w:r>
        <w:t xml:space="preserve">Avant-hier, le </w:t>
      </w:r>
      <w:hyperlink r:id="rId12" w:history="1">
        <w:r>
          <w:rPr>
            <w:rStyle w:val="Hyperlink"/>
          </w:rPr>
          <w:t>Conseil Supérieur de la Santé (CSS) a publié, à la demande de la Ministre De Block, un Avis concernant une directive en matière de « low risk drinking »</w:t>
        </w:r>
      </w:hyperlink>
      <w:r>
        <w:t xml:space="preserve">. Le Conseil a également pris la liberté de proposer d’autres mesures. L’avis a suscité de nombreuses réactions excessives et un débat polarisé. Un plan alcool équilibré semble plus éloigné que jamais. Une fois de plus, nous souhaiterions appeler à la retenue, non seulement dans la consommation d’alcool mais aussi dans le débat, et à travailler ensemble pour trouver des solutions. </w:t>
      </w:r>
    </w:p>
    <w:p w14:paraId="7A8EE99C" w14:textId="77777777" w:rsidR="00092E0E" w:rsidRPr="0038338A" w:rsidRDefault="00092E0E" w:rsidP="003778F6">
      <w:pPr>
        <w:jc w:val="both"/>
      </w:pPr>
    </w:p>
    <w:p w14:paraId="57A4FC22" w14:textId="5F818C72" w:rsidR="00092E0E" w:rsidRPr="00E32752" w:rsidRDefault="00092E0E" w:rsidP="003778F6">
      <w:pPr>
        <w:jc w:val="both"/>
      </w:pPr>
      <w:r>
        <w:t>Les chiffres les plus récents indiquent que 94</w:t>
      </w:r>
      <w:r w:rsidR="00552528">
        <w:t xml:space="preserve"> </w:t>
      </w:r>
      <w:r>
        <w:t>% des Belges adultes qui consomment de l’alcool le font de manière modérée.</w:t>
      </w:r>
      <w:r>
        <w:rPr>
          <w:rStyle w:val="FootnoteReference"/>
          <w:lang w:val="nl-NL"/>
        </w:rPr>
        <w:footnoteReference w:id="2"/>
      </w:r>
      <w:r>
        <w:t xml:space="preserve"> Pas moins de 80</w:t>
      </w:r>
      <w:r w:rsidR="00552528">
        <w:t xml:space="preserve"> </w:t>
      </w:r>
      <w:r>
        <w:t>% des Flamands boivent aujourd’hui déjà moins que ces dix verres d’alcool par semaine.</w:t>
      </w:r>
      <w:r>
        <w:rPr>
          <w:rStyle w:val="FootnoteReference"/>
          <w:lang w:val="nl-NL"/>
        </w:rPr>
        <w:footnoteReference w:id="3"/>
      </w:r>
      <w:r>
        <w:t xml:space="preserve"> Cela ne signifie pas pour autant qu’il n’y </w:t>
      </w:r>
      <w:r w:rsidR="003B5EA0">
        <w:t>ait</w:t>
      </w:r>
      <w:r>
        <w:t xml:space="preserve"> pas de problèmes : chez les jeunes en particulier, la consommation problématique d’alcool demeure un problème social indéniable. Chaque mois, le « binge drinking » touche 34</w:t>
      </w:r>
      <w:r w:rsidR="00552528">
        <w:t xml:space="preserve"> </w:t>
      </w:r>
      <w:r>
        <w:t>% des 17-18 ans et chaque semaine, 33 jeunes âgés de 16 à 18 ans en moyenne se retrouvent aux urgences à la suite d’une intoxication alcoolique.</w:t>
      </w:r>
      <w:r>
        <w:rPr>
          <w:rStyle w:val="FootnoteReference"/>
          <w:lang w:val="nl-NL"/>
        </w:rPr>
        <w:footnoteReference w:id="4"/>
      </w:r>
      <w:r>
        <w:t xml:space="preserve"> </w:t>
      </w:r>
    </w:p>
    <w:p w14:paraId="05CD66B3" w14:textId="77777777" w:rsidR="002E41F8" w:rsidRPr="0038338A" w:rsidRDefault="002E41F8" w:rsidP="003778F6">
      <w:pPr>
        <w:jc w:val="both"/>
      </w:pPr>
    </w:p>
    <w:p w14:paraId="6F6984EE" w14:textId="71A43249" w:rsidR="00092E0E" w:rsidRDefault="00092E0E" w:rsidP="003778F6">
      <w:pPr>
        <w:jc w:val="both"/>
      </w:pPr>
      <w:r>
        <w:t>Dans cette optique, nous pensons que le rapport contient deux éléments importants qui contribuent à simplifier le cadre réglementaire existant et à améliorer sa mise en œuvre et sa communication :</w:t>
      </w:r>
    </w:p>
    <w:p w14:paraId="3E1DA3D5" w14:textId="77777777" w:rsidR="00092E0E" w:rsidRPr="0038338A" w:rsidRDefault="00092E0E" w:rsidP="003778F6">
      <w:pPr>
        <w:jc w:val="both"/>
      </w:pPr>
    </w:p>
    <w:p w14:paraId="12230882" w14:textId="719DBA2F" w:rsidR="00092E0E" w:rsidRPr="00C43A70" w:rsidRDefault="00092E0E" w:rsidP="003778F6">
      <w:pPr>
        <w:pStyle w:val="ListParagraph"/>
        <w:numPr>
          <w:ilvl w:val="0"/>
          <w:numId w:val="12"/>
        </w:numPr>
        <w:jc w:val="both"/>
      </w:pPr>
      <w:r>
        <w:rPr>
          <w:b/>
        </w:rPr>
        <w:t>Unité d’alcool standard</w:t>
      </w:r>
      <w:r>
        <w:t>. Cette directive part du principe qu’un verre standard de bière (25 cl), de vin (10 cl) et de spiritueux (3 cl) contien</w:t>
      </w:r>
      <w:r w:rsidR="00552528">
        <w:t>t</w:t>
      </w:r>
      <w:r>
        <w:t xml:space="preserve"> la même quantité d’alcool (12,7 ml d’alcool pur ou 10 g). Cela permet d’éviter toute confusion dans l’esprit de toutes les parties concernées en raison de règles différentes pour les différents types de boissons alcoolisées. </w:t>
      </w:r>
    </w:p>
    <w:p w14:paraId="650A2CCE" w14:textId="19F120AB" w:rsidR="00092E0E" w:rsidRPr="00C43A70" w:rsidRDefault="00092E0E" w:rsidP="003778F6">
      <w:pPr>
        <w:pStyle w:val="ListParagraph"/>
        <w:numPr>
          <w:ilvl w:val="0"/>
          <w:numId w:val="12"/>
        </w:numPr>
        <w:jc w:val="both"/>
        <w:rPr>
          <w:b/>
        </w:rPr>
      </w:pPr>
      <w:r>
        <w:rPr>
          <w:b/>
        </w:rPr>
        <w:t xml:space="preserve">Harmonisation de l’âge minimum à 18 ans. </w:t>
      </w:r>
      <w:r>
        <w:t>Si l’o</w:t>
      </w:r>
      <w:r w:rsidR="0038338A">
        <w:t>n part du principe qu’un type d’</w:t>
      </w:r>
      <w:r>
        <w:t>alcool n’est pas plus ou moins nocif qu’un autre, il est logique que l’âge minimum puisse être harmonisé. Le nombre de pays européens qui adoptent cette harmonisation ne cesse d’augmenter. Vinum Et Spiritus soutient cette proposition et demande à la Ministre De Block et aux autres acteurs du secteur de nous suivre dans cette voie. Toute proposition divergente devra passer le test du principe d’égalité.</w:t>
      </w:r>
    </w:p>
    <w:p w14:paraId="5265C2E9" w14:textId="77777777" w:rsidR="00092E0E" w:rsidRPr="0038338A" w:rsidRDefault="00092E0E" w:rsidP="003778F6">
      <w:pPr>
        <w:jc w:val="both"/>
      </w:pPr>
    </w:p>
    <w:p w14:paraId="3086B063" w14:textId="159EEB1F" w:rsidR="00FD0BAA" w:rsidRDefault="007C559E" w:rsidP="003778F6">
      <w:pPr>
        <w:jc w:val="both"/>
      </w:pPr>
      <w:r>
        <w:t xml:space="preserve">Bien que nous soyons </w:t>
      </w:r>
      <w:r w:rsidR="003B5EA0">
        <w:t xml:space="preserve">partisans </w:t>
      </w:r>
      <w:r>
        <w:t xml:space="preserve">d’une politique intégrée en matière d’alcool, nous ne sommes pas d’accord avec certaines des suggestions faites par le CSS. </w:t>
      </w:r>
    </w:p>
    <w:p w14:paraId="6ED9D55F" w14:textId="77777777" w:rsidR="0051624E" w:rsidRPr="0038338A" w:rsidRDefault="0051624E" w:rsidP="003778F6">
      <w:pPr>
        <w:jc w:val="both"/>
      </w:pPr>
    </w:p>
    <w:p w14:paraId="495887BE" w14:textId="6425B508" w:rsidR="00092E0E" w:rsidRDefault="00092E0E" w:rsidP="003778F6">
      <w:pPr>
        <w:jc w:val="both"/>
      </w:pPr>
      <w:r>
        <w:t>La proposition d’augmenter les accises et les taxes témoigne d’un manque de sens des réalités. La forte augmentation des accises sur le vin (31</w:t>
      </w:r>
      <w:r w:rsidR="003B5EA0">
        <w:t xml:space="preserve"> </w:t>
      </w:r>
      <w:r>
        <w:t>%) et les spiritueux (41</w:t>
      </w:r>
      <w:r w:rsidR="003B5EA0">
        <w:t xml:space="preserve"> </w:t>
      </w:r>
      <w:r>
        <w:t xml:space="preserve">%) en 2015 a entraîné des dégâts tant </w:t>
      </w:r>
      <w:r>
        <w:lastRenderedPageBreak/>
        <w:t>économiques que fiscaux, sans aucun bénéfice pour la santé.</w:t>
      </w:r>
      <w:r>
        <w:rPr>
          <w:bCs/>
          <w:color w:val="000000" w:themeColor="text1"/>
        </w:rPr>
        <w:t xml:space="preserve"> Le seul changement de comportement que cela a entraîné réside dans le fait que les consommateurs belges achètent leurs vins et spiritueux à l’étranger, où les prix sont plus bas. </w:t>
      </w:r>
      <w:r>
        <w:t>Le rapport de l’OCDE, cité à plusieurs reprises dans l’avis du CSS, reconnaît d’ailleurs également que les achats frontaliers peuvent miner une politique de prix.</w:t>
      </w:r>
      <w:r w:rsidRPr="00D809DF">
        <w:rPr>
          <w:rStyle w:val="FootnoteReference"/>
          <w:rFonts w:eastAsia="Times New Roman"/>
          <w:bCs/>
          <w:lang w:val="nl-NL"/>
        </w:rPr>
        <w:footnoteReference w:id="5"/>
      </w:r>
      <w:r>
        <w:t xml:space="preserve"> </w:t>
      </w:r>
    </w:p>
    <w:p w14:paraId="446119D7" w14:textId="77777777" w:rsidR="00092E0E" w:rsidRPr="0038338A" w:rsidRDefault="00092E0E" w:rsidP="003778F6">
      <w:pPr>
        <w:jc w:val="both"/>
      </w:pPr>
    </w:p>
    <w:p w14:paraId="24F349F3" w14:textId="610CEF92" w:rsidR="00092E0E" w:rsidRDefault="00092E0E" w:rsidP="003778F6">
      <w:pPr>
        <w:jc w:val="both"/>
      </w:pPr>
      <w:r>
        <w:t>Selon nous, l’introduction d’une interdiction de publicité va beaucoup trop loin. Nous sommes toutefois ouverts depuis longtemps à une évaluation approfondie des règles existantes de la Convention et, avec les partenaires de la Convention, nous nous sommes engagés à renforcer certaines règles et à les adapter au nouveau contexte social.</w:t>
      </w:r>
    </w:p>
    <w:p w14:paraId="2468B8EF" w14:textId="77777777" w:rsidR="00092E0E" w:rsidRPr="0038338A" w:rsidRDefault="00092E0E" w:rsidP="003778F6">
      <w:pPr>
        <w:jc w:val="both"/>
      </w:pPr>
    </w:p>
    <w:p w14:paraId="4C673ED5" w14:textId="35CF0724" w:rsidR="003778F6" w:rsidRDefault="008B698C" w:rsidP="003778F6">
      <w:pPr>
        <w:jc w:val="both"/>
        <w:rPr>
          <w:color w:val="000000" w:themeColor="text1"/>
        </w:rPr>
      </w:pPr>
      <w:r>
        <w:rPr>
          <w:color w:val="000000" w:themeColor="text1"/>
        </w:rPr>
        <w:t>Nous appelons à mettre fin au débat pola</w:t>
      </w:r>
      <w:r w:rsidR="0038338A">
        <w:rPr>
          <w:color w:val="000000" w:themeColor="text1"/>
        </w:rPr>
        <w:t>risé et à ne pas attendre que l’</w:t>
      </w:r>
      <w:r>
        <w:rPr>
          <w:color w:val="000000" w:themeColor="text1"/>
        </w:rPr>
        <w:t>architecture de compétences idéale ait été trouvée pour agir. Les exemples aux Pays-Bas, au Portugal et récemment en Suède montrent que des objectifs concrets en matière de consommation responsable d’alcool peuvent être atteints grâce à une collaboration entre tous les acteurs concernés - les responsables politiques, les experts et les secteurs concernés.</w:t>
      </w:r>
    </w:p>
    <w:p w14:paraId="19130202" w14:textId="77777777" w:rsidR="003778F6" w:rsidRPr="0038338A" w:rsidRDefault="003778F6" w:rsidP="003778F6">
      <w:pPr>
        <w:jc w:val="both"/>
        <w:rPr>
          <w:color w:val="000000" w:themeColor="text1"/>
        </w:rPr>
      </w:pPr>
    </w:p>
    <w:p w14:paraId="035295DC" w14:textId="70141151" w:rsidR="00CB33A0" w:rsidRDefault="00ED02C1" w:rsidP="003778F6">
      <w:pPr>
        <w:jc w:val="both"/>
        <w:rPr>
          <w:color w:val="000000" w:themeColor="text1"/>
        </w:rPr>
      </w:pPr>
      <w:r>
        <w:rPr>
          <w:color w:val="000000" w:themeColor="text1"/>
        </w:rPr>
        <w:t xml:space="preserve">Le choix ne se limite en aucun cas à « une chasse aux sorcières contre les gens ou à la croyance en sa propre responsabilité ». Un bon plan consiste en un mélange équilibré. Un tel plan offre la possibilité d’une société chaleureuse - avec beaucoup de « hygge » - où tous ceux qui le souhaitent peuvent profiter d’un bon verre. Mais vu que la liberté des uns constitue souvent une atteinte à la liberté des autres dans un certain nombre de circonstances très fréquentes, et que certains groupes de population spécifiques, comme les jeunes, peuvent </w:t>
      </w:r>
      <w:r w:rsidR="00151088">
        <w:rPr>
          <w:color w:val="000000" w:themeColor="text1"/>
        </w:rPr>
        <w:t xml:space="preserve">bel et bien </w:t>
      </w:r>
      <w:r>
        <w:rPr>
          <w:color w:val="000000" w:themeColor="text1"/>
        </w:rPr>
        <w:t xml:space="preserve">bénéficier d’une certaine protection, il faut sensibiliser beaucoup plus et par conséquent clarifier et simplifier en profondeur les règles existantes. Chez Vinum Et Spiritus, nous voulons y contribuer de manière constructive et nous avons formulé des propositions en ce sens dans notre </w:t>
      </w:r>
      <w:hyperlink r:id="rId13" w:history="1">
        <w:r>
          <w:rPr>
            <w:rStyle w:val="Hyperlink"/>
          </w:rPr>
          <w:t>mémorandum politique</w:t>
        </w:r>
      </w:hyperlink>
      <w:r>
        <w:rPr>
          <w:color w:val="000000" w:themeColor="text1"/>
        </w:rPr>
        <w:t xml:space="preserve">. </w:t>
      </w:r>
    </w:p>
    <w:p w14:paraId="14E6EE0E" w14:textId="77777777" w:rsidR="00042F57" w:rsidRPr="0038338A" w:rsidRDefault="00042F57" w:rsidP="003778F6">
      <w:pPr>
        <w:jc w:val="both"/>
        <w:rPr>
          <w:color w:val="000000" w:themeColor="text1"/>
        </w:rPr>
      </w:pPr>
    </w:p>
    <w:p w14:paraId="7A475BA9" w14:textId="1E9454AA" w:rsidR="00042F57" w:rsidRDefault="00042F57" w:rsidP="003778F6">
      <w:pPr>
        <w:jc w:val="both"/>
        <w:rPr>
          <w:color w:val="000000" w:themeColor="text1"/>
        </w:rPr>
      </w:pPr>
      <w:r>
        <w:rPr>
          <w:color w:val="000000" w:themeColor="text1"/>
        </w:rPr>
        <w:t>13 juin 2018</w:t>
      </w:r>
    </w:p>
    <w:sectPr w:rsidR="00042F57" w:rsidSect="00042F57">
      <w:headerReference w:type="default" r:id="rId14"/>
      <w:pgSz w:w="11906" w:h="16838"/>
      <w:pgMar w:top="567"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99EA" w14:textId="77777777" w:rsidR="0059334B" w:rsidRDefault="0059334B" w:rsidP="00BC3DE7">
      <w:pPr>
        <w:spacing w:line="240" w:lineRule="auto"/>
      </w:pPr>
      <w:r>
        <w:separator/>
      </w:r>
    </w:p>
  </w:endnote>
  <w:endnote w:type="continuationSeparator" w:id="0">
    <w:p w14:paraId="02A6025C" w14:textId="77777777" w:rsidR="0059334B" w:rsidRDefault="0059334B" w:rsidP="00BC3DE7">
      <w:pPr>
        <w:spacing w:line="240" w:lineRule="auto"/>
      </w:pPr>
      <w:r>
        <w:continuationSeparator/>
      </w:r>
    </w:p>
  </w:endnote>
  <w:endnote w:type="continuationNotice" w:id="1">
    <w:p w14:paraId="02A65724" w14:textId="77777777" w:rsidR="0059334B" w:rsidRDefault="005933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Dem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6782E" w14:textId="77777777" w:rsidR="0059334B" w:rsidRDefault="0059334B" w:rsidP="00BC3DE7">
      <w:pPr>
        <w:spacing w:line="240" w:lineRule="auto"/>
      </w:pPr>
      <w:r>
        <w:separator/>
      </w:r>
    </w:p>
  </w:footnote>
  <w:footnote w:type="continuationSeparator" w:id="0">
    <w:p w14:paraId="78A1049C" w14:textId="77777777" w:rsidR="0059334B" w:rsidRDefault="0059334B" w:rsidP="00BC3DE7">
      <w:pPr>
        <w:spacing w:line="240" w:lineRule="auto"/>
      </w:pPr>
      <w:r>
        <w:continuationSeparator/>
      </w:r>
    </w:p>
  </w:footnote>
  <w:footnote w:type="continuationNotice" w:id="1">
    <w:p w14:paraId="6F3F101E" w14:textId="77777777" w:rsidR="0059334B" w:rsidRDefault="0059334B">
      <w:pPr>
        <w:spacing w:line="240" w:lineRule="auto"/>
      </w:pPr>
    </w:p>
  </w:footnote>
  <w:footnote w:id="2">
    <w:p w14:paraId="402BB9FD" w14:textId="5522DA01" w:rsidR="00092E0E" w:rsidRPr="002E41F8" w:rsidRDefault="00092E0E" w:rsidP="00092E0E">
      <w:pPr>
        <w:pStyle w:val="FootnoteText"/>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WIV-ISP, Enquête de santé 2013.</w:t>
      </w:r>
    </w:p>
  </w:footnote>
  <w:footnote w:id="3">
    <w:p w14:paraId="688AEAF6" w14:textId="6D950B99" w:rsidR="00092E0E" w:rsidRPr="00C43A70" w:rsidRDefault="00092E0E" w:rsidP="00092E0E">
      <w:pPr>
        <w:pStyle w:val="FootnoteText"/>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Chiffres de la VAD, cités par Guido Van Hal (UAntwerpen) dans le journal « De Morgen » le 13/06/2018.</w:t>
      </w:r>
    </w:p>
  </w:footnote>
  <w:footnote w:id="4">
    <w:p w14:paraId="3464C738" w14:textId="77777777" w:rsidR="00092E0E" w:rsidRPr="00C43A70" w:rsidRDefault="00092E0E" w:rsidP="00092E0E">
      <w:pPr>
        <w:pStyle w:val="FootnoteText"/>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Enquête de la VAD auprès d’étudiants, 2016 ; IMA-AIM, annexe au communiqué de presse du 24/03/2016.</w:t>
      </w:r>
    </w:p>
  </w:footnote>
  <w:footnote w:id="5">
    <w:p w14:paraId="193B7FBF" w14:textId="77777777" w:rsidR="00092E0E" w:rsidRPr="0038338A" w:rsidRDefault="00092E0E" w:rsidP="00092E0E">
      <w:pPr>
        <w:spacing w:line="240" w:lineRule="auto"/>
        <w:rPr>
          <w:rFonts w:asciiTheme="majorHAnsi" w:eastAsia="Times New Roman" w:hAnsiTheme="majorHAnsi" w:cs="Arial"/>
          <w:sz w:val="18"/>
          <w:szCs w:val="18"/>
          <w:lang w:val="en-GB"/>
        </w:rPr>
      </w:pPr>
      <w:r>
        <w:rPr>
          <w:rStyle w:val="FootnoteReference"/>
          <w:rFonts w:asciiTheme="majorHAnsi" w:hAnsiTheme="majorHAnsi"/>
          <w:sz w:val="18"/>
          <w:szCs w:val="18"/>
        </w:rPr>
        <w:footnoteRef/>
      </w:r>
      <w:r w:rsidRPr="0038338A">
        <w:rPr>
          <w:rFonts w:asciiTheme="majorHAnsi" w:hAnsiTheme="majorHAnsi"/>
          <w:sz w:val="18"/>
          <w:szCs w:val="18"/>
          <w:lang w:val="en-GB"/>
        </w:rPr>
        <w:t xml:space="preserve"> OECD. 2015. Tackling harmful alcohol use. Economics and public health policy. Le rapport stipule : “a prevention strategy largely based on taxation will be less effective in countries where consumption of illegal, or informally produced, alcohol is more widespread or where it is cheap and easy to cross the border to buy alcohol at a lower price.”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1656F" w14:textId="49642E95" w:rsidR="001D1DDD" w:rsidRDefault="001D1DDD" w:rsidP="001D1D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3A4"/>
    <w:multiLevelType w:val="hybridMultilevel"/>
    <w:tmpl w:val="AAFE5D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67D37"/>
    <w:multiLevelType w:val="hybridMultilevel"/>
    <w:tmpl w:val="7DF6C9A0"/>
    <w:lvl w:ilvl="0" w:tplc="6DEED0EC">
      <w:start w:val="1"/>
      <w:numFmt w:val="bullet"/>
      <w:lvlText w:val=""/>
      <w:lvlJc w:val="left"/>
      <w:pPr>
        <w:ind w:left="502" w:hanging="360"/>
      </w:pPr>
      <w:rPr>
        <w:rFonts w:ascii="Wingdings" w:hAnsi="Wingdings" w:hint="default"/>
        <w:color w:val="00B050"/>
        <w:sz w:val="32"/>
        <w:szCs w:val="32"/>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 w15:restartNumberingAfterBreak="0">
    <w:nsid w:val="2AD44EE2"/>
    <w:multiLevelType w:val="hybridMultilevel"/>
    <w:tmpl w:val="63A4244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30D21312"/>
    <w:multiLevelType w:val="hybridMultilevel"/>
    <w:tmpl w:val="B8449526"/>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4" w15:restartNumberingAfterBreak="0">
    <w:nsid w:val="3CB23DDA"/>
    <w:multiLevelType w:val="hybridMultilevel"/>
    <w:tmpl w:val="0C62731C"/>
    <w:lvl w:ilvl="0" w:tplc="5602F462">
      <w:start w:val="1"/>
      <w:numFmt w:val="bullet"/>
      <w:lvlText w:val="•"/>
      <w:lvlJc w:val="left"/>
      <w:pPr>
        <w:tabs>
          <w:tab w:val="num" w:pos="720"/>
        </w:tabs>
        <w:ind w:left="720" w:hanging="360"/>
      </w:pPr>
      <w:rPr>
        <w:rFonts w:ascii="Arial" w:hAnsi="Arial" w:hint="default"/>
      </w:rPr>
    </w:lvl>
    <w:lvl w:ilvl="1" w:tplc="E72895F6" w:tentative="1">
      <w:start w:val="1"/>
      <w:numFmt w:val="bullet"/>
      <w:lvlText w:val="•"/>
      <w:lvlJc w:val="left"/>
      <w:pPr>
        <w:tabs>
          <w:tab w:val="num" w:pos="1440"/>
        </w:tabs>
        <w:ind w:left="1440" w:hanging="360"/>
      </w:pPr>
      <w:rPr>
        <w:rFonts w:ascii="Arial" w:hAnsi="Arial" w:hint="default"/>
      </w:rPr>
    </w:lvl>
    <w:lvl w:ilvl="2" w:tplc="62224180" w:tentative="1">
      <w:start w:val="1"/>
      <w:numFmt w:val="bullet"/>
      <w:lvlText w:val="•"/>
      <w:lvlJc w:val="left"/>
      <w:pPr>
        <w:tabs>
          <w:tab w:val="num" w:pos="2160"/>
        </w:tabs>
        <w:ind w:left="2160" w:hanging="360"/>
      </w:pPr>
      <w:rPr>
        <w:rFonts w:ascii="Arial" w:hAnsi="Arial" w:hint="default"/>
      </w:rPr>
    </w:lvl>
    <w:lvl w:ilvl="3" w:tplc="5B2076B4" w:tentative="1">
      <w:start w:val="1"/>
      <w:numFmt w:val="bullet"/>
      <w:lvlText w:val="•"/>
      <w:lvlJc w:val="left"/>
      <w:pPr>
        <w:tabs>
          <w:tab w:val="num" w:pos="2880"/>
        </w:tabs>
        <w:ind w:left="2880" w:hanging="360"/>
      </w:pPr>
      <w:rPr>
        <w:rFonts w:ascii="Arial" w:hAnsi="Arial" w:hint="default"/>
      </w:rPr>
    </w:lvl>
    <w:lvl w:ilvl="4" w:tplc="51A6D302" w:tentative="1">
      <w:start w:val="1"/>
      <w:numFmt w:val="bullet"/>
      <w:lvlText w:val="•"/>
      <w:lvlJc w:val="left"/>
      <w:pPr>
        <w:tabs>
          <w:tab w:val="num" w:pos="3600"/>
        </w:tabs>
        <w:ind w:left="3600" w:hanging="360"/>
      </w:pPr>
      <w:rPr>
        <w:rFonts w:ascii="Arial" w:hAnsi="Arial" w:hint="default"/>
      </w:rPr>
    </w:lvl>
    <w:lvl w:ilvl="5" w:tplc="AF3AF2A8" w:tentative="1">
      <w:start w:val="1"/>
      <w:numFmt w:val="bullet"/>
      <w:lvlText w:val="•"/>
      <w:lvlJc w:val="left"/>
      <w:pPr>
        <w:tabs>
          <w:tab w:val="num" w:pos="4320"/>
        </w:tabs>
        <w:ind w:left="4320" w:hanging="360"/>
      </w:pPr>
      <w:rPr>
        <w:rFonts w:ascii="Arial" w:hAnsi="Arial" w:hint="default"/>
      </w:rPr>
    </w:lvl>
    <w:lvl w:ilvl="6" w:tplc="D5DE3112" w:tentative="1">
      <w:start w:val="1"/>
      <w:numFmt w:val="bullet"/>
      <w:lvlText w:val="•"/>
      <w:lvlJc w:val="left"/>
      <w:pPr>
        <w:tabs>
          <w:tab w:val="num" w:pos="5040"/>
        </w:tabs>
        <w:ind w:left="5040" w:hanging="360"/>
      </w:pPr>
      <w:rPr>
        <w:rFonts w:ascii="Arial" w:hAnsi="Arial" w:hint="default"/>
      </w:rPr>
    </w:lvl>
    <w:lvl w:ilvl="7" w:tplc="CE7A9E08" w:tentative="1">
      <w:start w:val="1"/>
      <w:numFmt w:val="bullet"/>
      <w:lvlText w:val="•"/>
      <w:lvlJc w:val="left"/>
      <w:pPr>
        <w:tabs>
          <w:tab w:val="num" w:pos="5760"/>
        </w:tabs>
        <w:ind w:left="5760" w:hanging="360"/>
      </w:pPr>
      <w:rPr>
        <w:rFonts w:ascii="Arial" w:hAnsi="Arial" w:hint="default"/>
      </w:rPr>
    </w:lvl>
    <w:lvl w:ilvl="8" w:tplc="1D186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FB332A"/>
    <w:multiLevelType w:val="hybridMultilevel"/>
    <w:tmpl w:val="0F2443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D9531F7"/>
    <w:multiLevelType w:val="hybridMultilevel"/>
    <w:tmpl w:val="357E72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2492619"/>
    <w:multiLevelType w:val="hybridMultilevel"/>
    <w:tmpl w:val="7B56156A"/>
    <w:lvl w:ilvl="0" w:tplc="CE3AFDD4">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4BB8286D"/>
    <w:multiLevelType w:val="hybridMultilevel"/>
    <w:tmpl w:val="4BD24636"/>
    <w:lvl w:ilvl="0" w:tplc="226E3B4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7790D9D"/>
    <w:multiLevelType w:val="hybridMultilevel"/>
    <w:tmpl w:val="C1542E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CE3494E"/>
    <w:multiLevelType w:val="hybridMultilevel"/>
    <w:tmpl w:val="F656F3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DE43029"/>
    <w:multiLevelType w:val="hybridMultilevel"/>
    <w:tmpl w:val="F6B2AAE0"/>
    <w:lvl w:ilvl="0" w:tplc="08090001">
      <w:start w:val="1"/>
      <w:numFmt w:val="bullet"/>
      <w:lvlText w:val=""/>
      <w:lvlJc w:val="left"/>
      <w:pPr>
        <w:ind w:left="720" w:hanging="360"/>
      </w:pPr>
      <w:rPr>
        <w:rFonts w:ascii="Symbol" w:hAnsi="Symbol" w:hint="default"/>
      </w:rPr>
    </w:lvl>
    <w:lvl w:ilvl="1" w:tplc="2A66F732">
      <w:numFmt w:val="bullet"/>
      <w:lvlText w:val="&gt;"/>
      <w:lvlJc w:val="left"/>
      <w:pPr>
        <w:ind w:left="786" w:hanging="360"/>
      </w:pPr>
      <w:rPr>
        <w:rFonts w:ascii="Berlin Sans FB Demi" w:eastAsia="Calibri" w:hAnsi="Berlin Sans FB Demi" w:cs="Calibri" w:hint="default"/>
        <w:b/>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652F1375"/>
    <w:multiLevelType w:val="hybridMultilevel"/>
    <w:tmpl w:val="31E6C4E0"/>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3" w15:restartNumberingAfterBreak="0">
    <w:nsid w:val="658B4159"/>
    <w:multiLevelType w:val="hybridMultilevel"/>
    <w:tmpl w:val="8E5CC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BD35DD0"/>
    <w:multiLevelType w:val="hybridMultilevel"/>
    <w:tmpl w:val="6186A95E"/>
    <w:lvl w:ilvl="0" w:tplc="080C0001">
      <w:start w:val="1"/>
      <w:numFmt w:val="bullet"/>
      <w:lvlText w:val=""/>
      <w:lvlJc w:val="left"/>
      <w:pPr>
        <w:ind w:left="-131" w:hanging="360"/>
      </w:pPr>
      <w:rPr>
        <w:rFonts w:ascii="Symbol" w:hAnsi="Symbol" w:hint="default"/>
      </w:rPr>
    </w:lvl>
    <w:lvl w:ilvl="1" w:tplc="080C0003" w:tentative="1">
      <w:start w:val="1"/>
      <w:numFmt w:val="bullet"/>
      <w:lvlText w:val="o"/>
      <w:lvlJc w:val="left"/>
      <w:pPr>
        <w:ind w:left="589" w:hanging="360"/>
      </w:pPr>
      <w:rPr>
        <w:rFonts w:ascii="Courier New" w:hAnsi="Courier New" w:cs="Courier New" w:hint="default"/>
      </w:rPr>
    </w:lvl>
    <w:lvl w:ilvl="2" w:tplc="080C0005" w:tentative="1">
      <w:start w:val="1"/>
      <w:numFmt w:val="bullet"/>
      <w:lvlText w:val=""/>
      <w:lvlJc w:val="left"/>
      <w:pPr>
        <w:ind w:left="1309" w:hanging="360"/>
      </w:pPr>
      <w:rPr>
        <w:rFonts w:ascii="Wingdings" w:hAnsi="Wingdings" w:hint="default"/>
      </w:rPr>
    </w:lvl>
    <w:lvl w:ilvl="3" w:tplc="080C0001" w:tentative="1">
      <w:start w:val="1"/>
      <w:numFmt w:val="bullet"/>
      <w:lvlText w:val=""/>
      <w:lvlJc w:val="left"/>
      <w:pPr>
        <w:ind w:left="2029" w:hanging="360"/>
      </w:pPr>
      <w:rPr>
        <w:rFonts w:ascii="Symbol" w:hAnsi="Symbol" w:hint="default"/>
      </w:rPr>
    </w:lvl>
    <w:lvl w:ilvl="4" w:tplc="080C0003" w:tentative="1">
      <w:start w:val="1"/>
      <w:numFmt w:val="bullet"/>
      <w:lvlText w:val="o"/>
      <w:lvlJc w:val="left"/>
      <w:pPr>
        <w:ind w:left="2749" w:hanging="360"/>
      </w:pPr>
      <w:rPr>
        <w:rFonts w:ascii="Courier New" w:hAnsi="Courier New" w:cs="Courier New" w:hint="default"/>
      </w:rPr>
    </w:lvl>
    <w:lvl w:ilvl="5" w:tplc="080C0005" w:tentative="1">
      <w:start w:val="1"/>
      <w:numFmt w:val="bullet"/>
      <w:lvlText w:val=""/>
      <w:lvlJc w:val="left"/>
      <w:pPr>
        <w:ind w:left="3469" w:hanging="360"/>
      </w:pPr>
      <w:rPr>
        <w:rFonts w:ascii="Wingdings" w:hAnsi="Wingdings" w:hint="default"/>
      </w:rPr>
    </w:lvl>
    <w:lvl w:ilvl="6" w:tplc="080C0001" w:tentative="1">
      <w:start w:val="1"/>
      <w:numFmt w:val="bullet"/>
      <w:lvlText w:val=""/>
      <w:lvlJc w:val="left"/>
      <w:pPr>
        <w:ind w:left="4189" w:hanging="360"/>
      </w:pPr>
      <w:rPr>
        <w:rFonts w:ascii="Symbol" w:hAnsi="Symbol" w:hint="default"/>
      </w:rPr>
    </w:lvl>
    <w:lvl w:ilvl="7" w:tplc="080C0003" w:tentative="1">
      <w:start w:val="1"/>
      <w:numFmt w:val="bullet"/>
      <w:lvlText w:val="o"/>
      <w:lvlJc w:val="left"/>
      <w:pPr>
        <w:ind w:left="4909" w:hanging="360"/>
      </w:pPr>
      <w:rPr>
        <w:rFonts w:ascii="Courier New" w:hAnsi="Courier New" w:cs="Courier New" w:hint="default"/>
      </w:rPr>
    </w:lvl>
    <w:lvl w:ilvl="8" w:tplc="080C0005" w:tentative="1">
      <w:start w:val="1"/>
      <w:numFmt w:val="bullet"/>
      <w:lvlText w:val=""/>
      <w:lvlJc w:val="left"/>
      <w:pPr>
        <w:ind w:left="5629" w:hanging="360"/>
      </w:pPr>
      <w:rPr>
        <w:rFonts w:ascii="Wingdings" w:hAnsi="Wingdings" w:hint="default"/>
      </w:rPr>
    </w:lvl>
  </w:abstractNum>
  <w:abstractNum w:abstractNumId="15" w15:restartNumberingAfterBreak="0">
    <w:nsid w:val="744438F5"/>
    <w:multiLevelType w:val="hybridMultilevel"/>
    <w:tmpl w:val="3AFC34D8"/>
    <w:lvl w:ilvl="0" w:tplc="797E36BC">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7"/>
  </w:num>
  <w:num w:numId="5">
    <w:abstractNumId w:val="11"/>
  </w:num>
  <w:num w:numId="6">
    <w:abstractNumId w:val="9"/>
  </w:num>
  <w:num w:numId="7">
    <w:abstractNumId w:val="12"/>
  </w:num>
  <w:num w:numId="8">
    <w:abstractNumId w:val="4"/>
  </w:num>
  <w:num w:numId="9">
    <w:abstractNumId w:val="13"/>
  </w:num>
  <w:num w:numId="10">
    <w:abstractNumId w:val="3"/>
  </w:num>
  <w:num w:numId="11">
    <w:abstractNumId w:val="2"/>
  </w:num>
  <w:num w:numId="12">
    <w:abstractNumId w:val="1"/>
  </w:num>
  <w:num w:numId="13">
    <w:abstractNumId w:val="8"/>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6D"/>
    <w:rsid w:val="00042F57"/>
    <w:rsid w:val="000534FC"/>
    <w:rsid w:val="000644BB"/>
    <w:rsid w:val="0006581A"/>
    <w:rsid w:val="000863DB"/>
    <w:rsid w:val="00092E0E"/>
    <w:rsid w:val="000C7D16"/>
    <w:rsid w:val="001371B6"/>
    <w:rsid w:val="00151088"/>
    <w:rsid w:val="00164922"/>
    <w:rsid w:val="001D1DDD"/>
    <w:rsid w:val="001F799A"/>
    <w:rsid w:val="0020260C"/>
    <w:rsid w:val="00202F40"/>
    <w:rsid w:val="0023240E"/>
    <w:rsid w:val="0024390D"/>
    <w:rsid w:val="0024657C"/>
    <w:rsid w:val="00247830"/>
    <w:rsid w:val="00254426"/>
    <w:rsid w:val="00282F62"/>
    <w:rsid w:val="00286EFF"/>
    <w:rsid w:val="00290AB8"/>
    <w:rsid w:val="00290DF7"/>
    <w:rsid w:val="002A6F4A"/>
    <w:rsid w:val="002C42E4"/>
    <w:rsid w:val="002E41F8"/>
    <w:rsid w:val="0036414D"/>
    <w:rsid w:val="00374000"/>
    <w:rsid w:val="003778F6"/>
    <w:rsid w:val="00382571"/>
    <w:rsid w:val="0038338A"/>
    <w:rsid w:val="003B5EA0"/>
    <w:rsid w:val="003B62E9"/>
    <w:rsid w:val="003D7814"/>
    <w:rsid w:val="003E2672"/>
    <w:rsid w:val="003F0689"/>
    <w:rsid w:val="00416AB3"/>
    <w:rsid w:val="0045348E"/>
    <w:rsid w:val="004B5CA6"/>
    <w:rsid w:val="004C4810"/>
    <w:rsid w:val="004D4CA9"/>
    <w:rsid w:val="004F363D"/>
    <w:rsid w:val="0051624E"/>
    <w:rsid w:val="00534919"/>
    <w:rsid w:val="00552528"/>
    <w:rsid w:val="00573734"/>
    <w:rsid w:val="00580D53"/>
    <w:rsid w:val="0059334B"/>
    <w:rsid w:val="005F0DA9"/>
    <w:rsid w:val="005F65E8"/>
    <w:rsid w:val="00600E9F"/>
    <w:rsid w:val="0060268B"/>
    <w:rsid w:val="006404D2"/>
    <w:rsid w:val="00671E23"/>
    <w:rsid w:val="006745A2"/>
    <w:rsid w:val="006A3093"/>
    <w:rsid w:val="006D612A"/>
    <w:rsid w:val="006E0B3E"/>
    <w:rsid w:val="00705FF7"/>
    <w:rsid w:val="00715950"/>
    <w:rsid w:val="00750752"/>
    <w:rsid w:val="00767176"/>
    <w:rsid w:val="007C0FD4"/>
    <w:rsid w:val="007C559E"/>
    <w:rsid w:val="007C6AA7"/>
    <w:rsid w:val="007F3D7A"/>
    <w:rsid w:val="00831089"/>
    <w:rsid w:val="008335EA"/>
    <w:rsid w:val="00837530"/>
    <w:rsid w:val="0084103E"/>
    <w:rsid w:val="00846B53"/>
    <w:rsid w:val="00852147"/>
    <w:rsid w:val="0086109E"/>
    <w:rsid w:val="00897151"/>
    <w:rsid w:val="008B698C"/>
    <w:rsid w:val="008E2CBE"/>
    <w:rsid w:val="00913503"/>
    <w:rsid w:val="00981D4D"/>
    <w:rsid w:val="0098257F"/>
    <w:rsid w:val="00985834"/>
    <w:rsid w:val="009C6826"/>
    <w:rsid w:val="00A50460"/>
    <w:rsid w:val="00A55E36"/>
    <w:rsid w:val="00AE2229"/>
    <w:rsid w:val="00AE66EC"/>
    <w:rsid w:val="00B028D1"/>
    <w:rsid w:val="00B23680"/>
    <w:rsid w:val="00B85E66"/>
    <w:rsid w:val="00BC3DE7"/>
    <w:rsid w:val="00BD496D"/>
    <w:rsid w:val="00BE11A1"/>
    <w:rsid w:val="00BE3367"/>
    <w:rsid w:val="00BE6F61"/>
    <w:rsid w:val="00BF3898"/>
    <w:rsid w:val="00C43A70"/>
    <w:rsid w:val="00C57787"/>
    <w:rsid w:val="00C75D16"/>
    <w:rsid w:val="00C86CC4"/>
    <w:rsid w:val="00C914A4"/>
    <w:rsid w:val="00CB33A0"/>
    <w:rsid w:val="00D0274F"/>
    <w:rsid w:val="00D1071E"/>
    <w:rsid w:val="00D207B7"/>
    <w:rsid w:val="00D22892"/>
    <w:rsid w:val="00D64ED3"/>
    <w:rsid w:val="00D809DF"/>
    <w:rsid w:val="00DA444D"/>
    <w:rsid w:val="00DA62C5"/>
    <w:rsid w:val="00E32752"/>
    <w:rsid w:val="00E457B8"/>
    <w:rsid w:val="00E5054F"/>
    <w:rsid w:val="00E67DFC"/>
    <w:rsid w:val="00E957E5"/>
    <w:rsid w:val="00EA2652"/>
    <w:rsid w:val="00EB5B7C"/>
    <w:rsid w:val="00ED02C1"/>
    <w:rsid w:val="00ED6E30"/>
    <w:rsid w:val="00F45728"/>
    <w:rsid w:val="00F71D57"/>
    <w:rsid w:val="00F86E7A"/>
    <w:rsid w:val="00F94ABE"/>
    <w:rsid w:val="00FD0BAA"/>
    <w:rsid w:val="00FF48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DF892"/>
  <w15:docId w15:val="{ADA77DA7-2177-4754-8FBF-D7B8019E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89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67"/>
    <w:pPr>
      <w:ind w:left="720"/>
      <w:contextualSpacing/>
    </w:pPr>
  </w:style>
  <w:style w:type="character" w:styleId="Hyperlink">
    <w:name w:val="Hyperlink"/>
    <w:basedOn w:val="DefaultParagraphFont"/>
    <w:uiPriority w:val="99"/>
    <w:unhideWhenUsed/>
    <w:rsid w:val="00A50460"/>
    <w:rPr>
      <w:color w:val="0563C1" w:themeColor="hyperlink"/>
      <w:u w:val="single"/>
    </w:rPr>
  </w:style>
  <w:style w:type="character" w:customStyle="1" w:styleId="UnresolvedMention1">
    <w:name w:val="Unresolved Mention1"/>
    <w:basedOn w:val="DefaultParagraphFont"/>
    <w:uiPriority w:val="99"/>
    <w:semiHidden/>
    <w:unhideWhenUsed/>
    <w:rsid w:val="00A50460"/>
    <w:rPr>
      <w:color w:val="808080"/>
      <w:shd w:val="clear" w:color="auto" w:fill="E6E6E6"/>
    </w:rPr>
  </w:style>
  <w:style w:type="character" w:styleId="Strong">
    <w:name w:val="Strong"/>
    <w:basedOn w:val="DefaultParagraphFont"/>
    <w:uiPriority w:val="22"/>
    <w:qFormat/>
    <w:rsid w:val="00A50460"/>
    <w:rPr>
      <w:b/>
      <w:bCs/>
    </w:rPr>
  </w:style>
  <w:style w:type="paragraph" w:styleId="Header">
    <w:name w:val="header"/>
    <w:basedOn w:val="Normal"/>
    <w:link w:val="HeaderChar"/>
    <w:uiPriority w:val="99"/>
    <w:unhideWhenUsed/>
    <w:rsid w:val="00BC3DE7"/>
    <w:pPr>
      <w:tabs>
        <w:tab w:val="center" w:pos="4536"/>
        <w:tab w:val="right" w:pos="9072"/>
      </w:tabs>
      <w:spacing w:line="240" w:lineRule="auto"/>
    </w:pPr>
  </w:style>
  <w:style w:type="character" w:customStyle="1" w:styleId="HeaderChar">
    <w:name w:val="Header Char"/>
    <w:basedOn w:val="DefaultParagraphFont"/>
    <w:link w:val="Header"/>
    <w:uiPriority w:val="99"/>
    <w:rsid w:val="00BC3DE7"/>
  </w:style>
  <w:style w:type="paragraph" w:styleId="Footer">
    <w:name w:val="footer"/>
    <w:basedOn w:val="Normal"/>
    <w:link w:val="FooterChar"/>
    <w:uiPriority w:val="99"/>
    <w:unhideWhenUsed/>
    <w:rsid w:val="00BC3DE7"/>
    <w:pPr>
      <w:tabs>
        <w:tab w:val="center" w:pos="4536"/>
        <w:tab w:val="right" w:pos="9072"/>
      </w:tabs>
      <w:spacing w:line="240" w:lineRule="auto"/>
    </w:pPr>
  </w:style>
  <w:style w:type="character" w:customStyle="1" w:styleId="FooterChar">
    <w:name w:val="Footer Char"/>
    <w:basedOn w:val="DefaultParagraphFont"/>
    <w:link w:val="Footer"/>
    <w:uiPriority w:val="99"/>
    <w:rsid w:val="00BC3DE7"/>
  </w:style>
  <w:style w:type="paragraph" w:styleId="BalloonText">
    <w:name w:val="Balloon Text"/>
    <w:basedOn w:val="Normal"/>
    <w:link w:val="BalloonTextChar"/>
    <w:uiPriority w:val="99"/>
    <w:semiHidden/>
    <w:unhideWhenUsed/>
    <w:rsid w:val="002A6F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F4A"/>
    <w:rPr>
      <w:rFonts w:ascii="Segoe UI" w:hAnsi="Segoe UI" w:cs="Segoe UI"/>
      <w:sz w:val="18"/>
      <w:szCs w:val="18"/>
    </w:rPr>
  </w:style>
  <w:style w:type="table" w:styleId="TableGrid">
    <w:name w:val="Table Grid"/>
    <w:basedOn w:val="TableNormal"/>
    <w:uiPriority w:val="39"/>
    <w:rsid w:val="0006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1DDD"/>
    <w:rPr>
      <w:i/>
      <w:iCs/>
    </w:rPr>
  </w:style>
  <w:style w:type="paragraph" w:styleId="FootnoteText">
    <w:name w:val="footnote text"/>
    <w:basedOn w:val="Normal"/>
    <w:link w:val="FootnoteTextChar"/>
    <w:uiPriority w:val="99"/>
    <w:semiHidden/>
    <w:unhideWhenUsed/>
    <w:rsid w:val="00837530"/>
    <w:pPr>
      <w:spacing w:line="240" w:lineRule="auto"/>
    </w:pPr>
    <w:rPr>
      <w:sz w:val="20"/>
      <w:szCs w:val="20"/>
    </w:rPr>
  </w:style>
  <w:style w:type="character" w:customStyle="1" w:styleId="FootnoteTextChar">
    <w:name w:val="Footnote Text Char"/>
    <w:basedOn w:val="DefaultParagraphFont"/>
    <w:link w:val="FootnoteText"/>
    <w:uiPriority w:val="99"/>
    <w:semiHidden/>
    <w:rsid w:val="00837530"/>
    <w:rPr>
      <w:sz w:val="20"/>
      <w:szCs w:val="20"/>
    </w:rPr>
  </w:style>
  <w:style w:type="character" w:styleId="FootnoteReference">
    <w:name w:val="footnote reference"/>
    <w:basedOn w:val="DefaultParagraphFont"/>
    <w:uiPriority w:val="99"/>
    <w:semiHidden/>
    <w:unhideWhenUsed/>
    <w:rsid w:val="00837530"/>
    <w:rPr>
      <w:vertAlign w:val="superscript"/>
    </w:rPr>
  </w:style>
  <w:style w:type="character" w:customStyle="1" w:styleId="highlight">
    <w:name w:val="highlight"/>
    <w:basedOn w:val="DefaultParagraphFont"/>
    <w:rsid w:val="00837530"/>
  </w:style>
  <w:style w:type="character" w:customStyle="1" w:styleId="UnresolvedMention2">
    <w:name w:val="Unresolved Mention2"/>
    <w:basedOn w:val="DefaultParagraphFont"/>
    <w:uiPriority w:val="99"/>
    <w:semiHidden/>
    <w:unhideWhenUsed/>
    <w:rsid w:val="008B69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8096">
      <w:bodyDiv w:val="1"/>
      <w:marLeft w:val="0"/>
      <w:marRight w:val="0"/>
      <w:marTop w:val="0"/>
      <w:marBottom w:val="0"/>
      <w:divBdr>
        <w:top w:val="none" w:sz="0" w:space="0" w:color="auto"/>
        <w:left w:val="none" w:sz="0" w:space="0" w:color="auto"/>
        <w:bottom w:val="none" w:sz="0" w:space="0" w:color="auto"/>
        <w:right w:val="none" w:sz="0" w:space="0" w:color="auto"/>
      </w:divBdr>
    </w:div>
    <w:div w:id="402879045">
      <w:bodyDiv w:val="1"/>
      <w:marLeft w:val="0"/>
      <w:marRight w:val="0"/>
      <w:marTop w:val="0"/>
      <w:marBottom w:val="0"/>
      <w:divBdr>
        <w:top w:val="none" w:sz="0" w:space="0" w:color="auto"/>
        <w:left w:val="none" w:sz="0" w:space="0" w:color="auto"/>
        <w:bottom w:val="none" w:sz="0" w:space="0" w:color="auto"/>
        <w:right w:val="none" w:sz="0" w:space="0" w:color="auto"/>
      </w:divBdr>
      <w:divsChild>
        <w:div w:id="354773500">
          <w:marLeft w:val="446"/>
          <w:marRight w:val="0"/>
          <w:marTop w:val="0"/>
          <w:marBottom w:val="0"/>
          <w:divBdr>
            <w:top w:val="none" w:sz="0" w:space="0" w:color="auto"/>
            <w:left w:val="none" w:sz="0" w:space="0" w:color="auto"/>
            <w:bottom w:val="none" w:sz="0" w:space="0" w:color="auto"/>
            <w:right w:val="none" w:sz="0" w:space="0" w:color="auto"/>
          </w:divBdr>
        </w:div>
        <w:div w:id="1193961773">
          <w:marLeft w:val="446"/>
          <w:marRight w:val="0"/>
          <w:marTop w:val="0"/>
          <w:marBottom w:val="0"/>
          <w:divBdr>
            <w:top w:val="none" w:sz="0" w:space="0" w:color="auto"/>
            <w:left w:val="none" w:sz="0" w:space="0" w:color="auto"/>
            <w:bottom w:val="none" w:sz="0" w:space="0" w:color="auto"/>
            <w:right w:val="none" w:sz="0" w:space="0" w:color="auto"/>
          </w:divBdr>
        </w:div>
      </w:divsChild>
    </w:div>
    <w:div w:id="623999794">
      <w:bodyDiv w:val="1"/>
      <w:marLeft w:val="0"/>
      <w:marRight w:val="0"/>
      <w:marTop w:val="0"/>
      <w:marBottom w:val="0"/>
      <w:divBdr>
        <w:top w:val="none" w:sz="0" w:space="0" w:color="auto"/>
        <w:left w:val="none" w:sz="0" w:space="0" w:color="auto"/>
        <w:bottom w:val="none" w:sz="0" w:space="0" w:color="auto"/>
        <w:right w:val="none" w:sz="0" w:space="0" w:color="auto"/>
      </w:divBdr>
    </w:div>
    <w:div w:id="1070007357">
      <w:bodyDiv w:val="1"/>
      <w:marLeft w:val="0"/>
      <w:marRight w:val="0"/>
      <w:marTop w:val="0"/>
      <w:marBottom w:val="0"/>
      <w:divBdr>
        <w:top w:val="none" w:sz="0" w:space="0" w:color="auto"/>
        <w:left w:val="none" w:sz="0" w:space="0" w:color="auto"/>
        <w:bottom w:val="none" w:sz="0" w:space="0" w:color="auto"/>
        <w:right w:val="none" w:sz="0" w:space="0" w:color="auto"/>
      </w:divBdr>
      <w:divsChild>
        <w:div w:id="2098407448">
          <w:marLeft w:val="0"/>
          <w:marRight w:val="0"/>
          <w:marTop w:val="0"/>
          <w:marBottom w:val="0"/>
          <w:divBdr>
            <w:top w:val="none" w:sz="0" w:space="0" w:color="auto"/>
            <w:left w:val="none" w:sz="0" w:space="0" w:color="auto"/>
            <w:bottom w:val="none" w:sz="0" w:space="0" w:color="auto"/>
            <w:right w:val="none" w:sz="0" w:space="0" w:color="auto"/>
          </w:divBdr>
        </w:div>
        <w:div w:id="1039354837">
          <w:marLeft w:val="0"/>
          <w:marRight w:val="0"/>
          <w:marTop w:val="0"/>
          <w:marBottom w:val="0"/>
          <w:divBdr>
            <w:top w:val="none" w:sz="0" w:space="0" w:color="auto"/>
            <w:left w:val="none" w:sz="0" w:space="0" w:color="auto"/>
            <w:bottom w:val="none" w:sz="0" w:space="0" w:color="auto"/>
            <w:right w:val="none" w:sz="0" w:space="0" w:color="auto"/>
          </w:divBdr>
        </w:div>
        <w:div w:id="1280650465">
          <w:marLeft w:val="0"/>
          <w:marRight w:val="0"/>
          <w:marTop w:val="0"/>
          <w:marBottom w:val="0"/>
          <w:divBdr>
            <w:top w:val="none" w:sz="0" w:space="0" w:color="auto"/>
            <w:left w:val="none" w:sz="0" w:space="0" w:color="auto"/>
            <w:bottom w:val="none" w:sz="0" w:space="0" w:color="auto"/>
            <w:right w:val="none" w:sz="0" w:space="0" w:color="auto"/>
          </w:divBdr>
        </w:div>
        <w:div w:id="1300569982">
          <w:marLeft w:val="0"/>
          <w:marRight w:val="0"/>
          <w:marTop w:val="0"/>
          <w:marBottom w:val="0"/>
          <w:divBdr>
            <w:top w:val="none" w:sz="0" w:space="0" w:color="auto"/>
            <w:left w:val="none" w:sz="0" w:space="0" w:color="auto"/>
            <w:bottom w:val="none" w:sz="0" w:space="0" w:color="auto"/>
            <w:right w:val="none" w:sz="0" w:space="0" w:color="auto"/>
          </w:divBdr>
        </w:div>
        <w:div w:id="910507034">
          <w:marLeft w:val="0"/>
          <w:marRight w:val="0"/>
          <w:marTop w:val="0"/>
          <w:marBottom w:val="0"/>
          <w:divBdr>
            <w:top w:val="none" w:sz="0" w:space="0" w:color="auto"/>
            <w:left w:val="none" w:sz="0" w:space="0" w:color="auto"/>
            <w:bottom w:val="none" w:sz="0" w:space="0" w:color="auto"/>
            <w:right w:val="none" w:sz="0" w:space="0" w:color="auto"/>
          </w:divBdr>
        </w:div>
      </w:divsChild>
    </w:div>
    <w:div w:id="1523591184">
      <w:bodyDiv w:val="1"/>
      <w:marLeft w:val="0"/>
      <w:marRight w:val="0"/>
      <w:marTop w:val="0"/>
      <w:marBottom w:val="0"/>
      <w:divBdr>
        <w:top w:val="none" w:sz="0" w:space="0" w:color="auto"/>
        <w:left w:val="none" w:sz="0" w:space="0" w:color="auto"/>
        <w:bottom w:val="none" w:sz="0" w:space="0" w:color="auto"/>
        <w:right w:val="none" w:sz="0" w:space="0" w:color="auto"/>
      </w:divBdr>
    </w:div>
    <w:div w:id="1573420570">
      <w:bodyDiv w:val="1"/>
      <w:marLeft w:val="0"/>
      <w:marRight w:val="0"/>
      <w:marTop w:val="0"/>
      <w:marBottom w:val="0"/>
      <w:divBdr>
        <w:top w:val="none" w:sz="0" w:space="0" w:color="auto"/>
        <w:left w:val="none" w:sz="0" w:space="0" w:color="auto"/>
        <w:bottom w:val="none" w:sz="0" w:space="0" w:color="auto"/>
        <w:right w:val="none" w:sz="0" w:space="0" w:color="auto"/>
      </w:divBdr>
    </w:div>
    <w:div w:id="1814063402">
      <w:bodyDiv w:val="1"/>
      <w:marLeft w:val="0"/>
      <w:marRight w:val="0"/>
      <w:marTop w:val="0"/>
      <w:marBottom w:val="0"/>
      <w:divBdr>
        <w:top w:val="none" w:sz="0" w:space="0" w:color="auto"/>
        <w:left w:val="none" w:sz="0" w:space="0" w:color="auto"/>
        <w:bottom w:val="none" w:sz="0" w:space="0" w:color="auto"/>
        <w:right w:val="none" w:sz="0" w:space="0" w:color="auto"/>
      </w:divBdr>
      <w:divsChild>
        <w:div w:id="835222393">
          <w:marLeft w:val="0"/>
          <w:marRight w:val="0"/>
          <w:marTop w:val="0"/>
          <w:marBottom w:val="0"/>
          <w:divBdr>
            <w:top w:val="none" w:sz="0" w:space="0" w:color="auto"/>
            <w:left w:val="none" w:sz="0" w:space="0" w:color="auto"/>
            <w:bottom w:val="none" w:sz="0" w:space="0" w:color="auto"/>
            <w:right w:val="none" w:sz="0" w:space="0" w:color="auto"/>
          </w:divBdr>
        </w:div>
      </w:divsChild>
    </w:div>
    <w:div w:id="2030183981">
      <w:bodyDiv w:val="1"/>
      <w:marLeft w:val="0"/>
      <w:marRight w:val="0"/>
      <w:marTop w:val="0"/>
      <w:marBottom w:val="0"/>
      <w:divBdr>
        <w:top w:val="none" w:sz="0" w:space="0" w:color="auto"/>
        <w:left w:val="none" w:sz="0" w:space="0" w:color="auto"/>
        <w:bottom w:val="none" w:sz="0" w:space="0" w:color="auto"/>
        <w:right w:val="none" w:sz="0" w:space="0" w:color="auto"/>
      </w:divBdr>
      <w:divsChild>
        <w:div w:id="423037714">
          <w:marLeft w:val="446"/>
          <w:marRight w:val="0"/>
          <w:marTop w:val="0"/>
          <w:marBottom w:val="0"/>
          <w:divBdr>
            <w:top w:val="none" w:sz="0" w:space="0" w:color="auto"/>
            <w:left w:val="none" w:sz="0" w:space="0" w:color="auto"/>
            <w:bottom w:val="none" w:sz="0" w:space="0" w:color="auto"/>
            <w:right w:val="none" w:sz="0" w:space="0" w:color="auto"/>
          </w:divBdr>
        </w:div>
        <w:div w:id="19790221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numetspiritus.be/wp-content/uploads/2018/03/Politiek_Memorandu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belgium.be/sites/default/files/uploads/fields/fpshealth_theme_file/hgr_9438_advies_alcoho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EE0AF978E0242946C9ECB55AC7B01" ma:contentTypeVersion="10" ma:contentTypeDescription="Crée un document." ma:contentTypeScope="" ma:versionID="f466bd5e0f118d596ecd230e484375c2">
  <xsd:schema xmlns:xsd="http://www.w3.org/2001/XMLSchema" xmlns:xs="http://www.w3.org/2001/XMLSchema" xmlns:p="http://schemas.microsoft.com/office/2006/metadata/properties" xmlns:ns2="1d465b8c-9845-47cb-a4f5-a3f25ba0c368" xmlns:ns3="c20f5e42-e91c-4bf4-9e07-ed972e8f1533" targetNamespace="http://schemas.microsoft.com/office/2006/metadata/properties" ma:root="true" ma:fieldsID="1b7622cac3aa8dfdf361615728e99c05" ns2:_="" ns3:_="">
    <xsd:import namespace="1d465b8c-9845-47cb-a4f5-a3f25ba0c368"/>
    <xsd:import namespace="c20f5e42-e91c-4bf4-9e07-ed972e8f153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65b8c-9845-47cb-a4f5-a3f25ba0c36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0f5e42-e91c-4bf4-9e07-ed972e8f15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D973-6796-46ED-8B51-5DB5C6BF96C9}">
  <ds:schemaRefs>
    <ds:schemaRef ds:uri="http://schemas.microsoft.com/sharepoint/v3/contenttype/forms"/>
  </ds:schemaRefs>
</ds:datastoreItem>
</file>

<file path=customXml/itemProps2.xml><?xml version="1.0" encoding="utf-8"?>
<ds:datastoreItem xmlns:ds="http://schemas.openxmlformats.org/officeDocument/2006/customXml" ds:itemID="{CE3A0657-BAE2-4AA4-BB30-1FE6293F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65b8c-9845-47cb-a4f5-a3f25ba0c368"/>
    <ds:schemaRef ds:uri="c20f5e42-e91c-4bf4-9e07-ed972e8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AA934-C5FD-4A32-BA7E-390BAAFECA4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0f5e42-e91c-4bf4-9e07-ed972e8f1533"/>
    <ds:schemaRef ds:uri="1d465b8c-9845-47cb-a4f5-a3f25ba0c368"/>
    <ds:schemaRef ds:uri="http://www.w3.org/XML/1998/namespace"/>
    <ds:schemaRef ds:uri="http://purl.org/dc/dcmitype/"/>
  </ds:schemaRefs>
</ds:datastoreItem>
</file>

<file path=customXml/itemProps4.xml><?xml version="1.0" encoding="utf-8"?>
<ds:datastoreItem xmlns:ds="http://schemas.openxmlformats.org/officeDocument/2006/customXml" ds:itemID="{082D69F4-5DAA-4831-97E8-DCDAABB9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767</Words>
  <Characters>4223</Characters>
  <Application>Microsoft Office Word</Application>
  <DocSecurity>0</DocSecurity>
  <Lines>35</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FOD Justitie / SPF Justice</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Vandenweyer</dc:creator>
  <cp:lastModifiedBy>belgatranslation belgatranslation</cp:lastModifiedBy>
  <cp:revision>3</cp:revision>
  <cp:lastPrinted>2018-06-15T08:13:00Z</cp:lastPrinted>
  <dcterms:created xsi:type="dcterms:W3CDTF">2018-06-19T15:30:00Z</dcterms:created>
  <dcterms:modified xsi:type="dcterms:W3CDTF">2018-06-19T15:47:00Z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0x010100563EE0AF978E0242946C9ECB55AC7B01</vt:lpwstr>
  </property>
</Properties>
</file>